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E484" w14:textId="52857750" w:rsidR="009C601A" w:rsidRPr="00F8084A" w:rsidRDefault="009C601A" w:rsidP="009060C8">
      <w:pPr>
        <w:pStyle w:val="PensionBulletin"/>
        <w:widowControl w:val="0"/>
        <w:spacing w:before="3600" w:line="0" w:lineRule="atLeast"/>
        <w:jc w:val="center"/>
        <w:rPr>
          <w:rFonts w:ascii="Times New Roman" w:hAnsi="Times New Roman"/>
          <w:i w:val="0"/>
          <w:iCs w:val="0"/>
          <w:color w:val="auto"/>
          <w:kern w:val="0"/>
          <w:sz w:val="24"/>
          <w:szCs w:val="20"/>
        </w:rPr>
      </w:pPr>
      <w:r w:rsidRPr="00F8084A">
        <w:rPr>
          <w:rFonts w:asciiTheme="minorHAnsi" w:hAnsiTheme="minorHAnsi" w:cstheme="minorHAnsi"/>
          <w:i w:val="0"/>
          <w:iCs w:val="0"/>
          <w:noProof/>
          <w:color w:val="61207F"/>
          <w:sz w:val="72"/>
          <w:szCs w:val="72"/>
        </w:rPr>
        <w:t xml:space="preserve">Admission </w:t>
      </w:r>
      <w:r w:rsidR="00F8084A">
        <w:rPr>
          <w:rFonts w:asciiTheme="minorHAnsi" w:hAnsiTheme="minorHAnsi" w:cstheme="minorHAnsi"/>
          <w:i w:val="0"/>
          <w:iCs w:val="0"/>
          <w:noProof/>
          <w:color w:val="61207F"/>
          <w:sz w:val="72"/>
          <w:szCs w:val="72"/>
        </w:rPr>
        <w:t>b</w:t>
      </w:r>
      <w:r w:rsidRPr="00F8084A">
        <w:rPr>
          <w:rFonts w:asciiTheme="minorHAnsi" w:hAnsiTheme="minorHAnsi" w:cstheme="minorHAnsi"/>
          <w:i w:val="0"/>
          <w:iCs w:val="0"/>
          <w:noProof/>
          <w:color w:val="61207F"/>
          <w:sz w:val="72"/>
          <w:szCs w:val="72"/>
        </w:rPr>
        <w:t xml:space="preserve">odies, </w:t>
      </w:r>
      <w:r w:rsidR="00F8084A">
        <w:rPr>
          <w:rFonts w:asciiTheme="minorHAnsi" w:hAnsiTheme="minorHAnsi" w:cstheme="minorHAnsi"/>
          <w:i w:val="0"/>
          <w:iCs w:val="0"/>
          <w:noProof/>
          <w:color w:val="61207F"/>
          <w:sz w:val="72"/>
          <w:szCs w:val="72"/>
        </w:rPr>
        <w:t>s</w:t>
      </w:r>
      <w:r w:rsidRPr="00F8084A">
        <w:rPr>
          <w:rFonts w:asciiTheme="minorHAnsi" w:hAnsiTheme="minorHAnsi" w:cstheme="minorHAnsi"/>
          <w:i w:val="0"/>
          <w:iCs w:val="0"/>
          <w:noProof/>
          <w:color w:val="61207F"/>
          <w:sz w:val="72"/>
          <w:szCs w:val="72"/>
        </w:rPr>
        <w:t xml:space="preserve">cheme </w:t>
      </w:r>
      <w:r w:rsidR="00F8084A">
        <w:rPr>
          <w:rFonts w:asciiTheme="minorHAnsi" w:hAnsiTheme="minorHAnsi" w:cstheme="minorHAnsi"/>
          <w:i w:val="0"/>
          <w:iCs w:val="0"/>
          <w:noProof/>
          <w:color w:val="61207F"/>
          <w:sz w:val="72"/>
          <w:szCs w:val="72"/>
        </w:rPr>
        <w:t>e</w:t>
      </w:r>
      <w:r w:rsidRPr="00F8084A">
        <w:rPr>
          <w:rFonts w:asciiTheme="minorHAnsi" w:hAnsiTheme="minorHAnsi" w:cstheme="minorHAnsi"/>
          <w:i w:val="0"/>
          <w:iCs w:val="0"/>
          <w:noProof/>
          <w:color w:val="61207F"/>
          <w:sz w:val="72"/>
          <w:szCs w:val="72"/>
        </w:rPr>
        <w:t xml:space="preserve">mployers and </w:t>
      </w:r>
      <w:r w:rsidR="00F8084A">
        <w:rPr>
          <w:rFonts w:asciiTheme="minorHAnsi" w:hAnsiTheme="minorHAnsi" w:cstheme="minorHAnsi"/>
          <w:i w:val="0"/>
          <w:iCs w:val="0"/>
          <w:noProof/>
          <w:color w:val="61207F"/>
          <w:sz w:val="72"/>
          <w:szCs w:val="72"/>
        </w:rPr>
        <w:t>b</w:t>
      </w:r>
      <w:r w:rsidRPr="00F8084A">
        <w:rPr>
          <w:rFonts w:asciiTheme="minorHAnsi" w:hAnsiTheme="minorHAnsi" w:cstheme="minorHAnsi"/>
          <w:i w:val="0"/>
          <w:iCs w:val="0"/>
          <w:noProof/>
          <w:color w:val="61207F"/>
          <w:sz w:val="72"/>
          <w:szCs w:val="72"/>
        </w:rPr>
        <w:t>ulk</w:t>
      </w:r>
      <w:r w:rsidR="00F8084A">
        <w:rPr>
          <w:rFonts w:asciiTheme="minorHAnsi" w:hAnsiTheme="minorHAnsi" w:cstheme="minorHAnsi"/>
          <w:i w:val="0"/>
          <w:iCs w:val="0"/>
          <w:noProof/>
          <w:color w:val="61207F"/>
          <w:sz w:val="72"/>
          <w:szCs w:val="72"/>
        </w:rPr>
        <w:t xml:space="preserve"> t</w:t>
      </w:r>
      <w:r w:rsidRPr="00F8084A">
        <w:rPr>
          <w:rFonts w:asciiTheme="minorHAnsi" w:hAnsiTheme="minorHAnsi" w:cstheme="minorHAnsi"/>
          <w:i w:val="0"/>
          <w:iCs w:val="0"/>
          <w:noProof/>
          <w:color w:val="61207F"/>
          <w:sz w:val="72"/>
          <w:szCs w:val="72"/>
        </w:rPr>
        <w:t xml:space="preserve">ransfer </w:t>
      </w:r>
      <w:r w:rsidR="00F8084A">
        <w:rPr>
          <w:rFonts w:asciiTheme="minorHAnsi" w:hAnsiTheme="minorHAnsi" w:cstheme="minorHAnsi"/>
          <w:i w:val="0"/>
          <w:iCs w:val="0"/>
          <w:noProof/>
          <w:color w:val="61207F"/>
          <w:sz w:val="72"/>
          <w:szCs w:val="72"/>
        </w:rPr>
        <w:t>p</w:t>
      </w:r>
      <w:r w:rsidRPr="00F8084A">
        <w:rPr>
          <w:rFonts w:asciiTheme="minorHAnsi" w:hAnsiTheme="minorHAnsi" w:cstheme="minorHAnsi"/>
          <w:i w:val="0"/>
          <w:iCs w:val="0"/>
          <w:noProof/>
          <w:color w:val="61207F"/>
          <w:sz w:val="72"/>
          <w:szCs w:val="72"/>
        </w:rPr>
        <w:t>olicy</w:t>
      </w:r>
      <w:r w:rsidR="00F8084A">
        <w:rPr>
          <w:rFonts w:asciiTheme="minorHAnsi" w:hAnsiTheme="minorHAnsi" w:cstheme="minorHAnsi"/>
          <w:i w:val="0"/>
          <w:iCs w:val="0"/>
          <w:noProof/>
          <w:color w:val="61207F"/>
          <w:sz w:val="72"/>
          <w:szCs w:val="72"/>
        </w:rPr>
        <w:t xml:space="preserve"> </w:t>
      </w:r>
      <w:r w:rsidR="00D13759" w:rsidRPr="00F8084A">
        <w:rPr>
          <w:rFonts w:asciiTheme="minorHAnsi" w:hAnsiTheme="minorHAnsi" w:cstheme="minorHAnsi"/>
          <w:i w:val="0"/>
          <w:iCs w:val="0"/>
          <w:noProof/>
          <w:color w:val="61207F"/>
          <w:sz w:val="72"/>
          <w:szCs w:val="72"/>
        </w:rPr>
        <w:t>2021</w:t>
      </w:r>
    </w:p>
    <w:p w14:paraId="5E8ABDA9" w14:textId="77777777" w:rsidR="00565013" w:rsidRDefault="00565013">
      <w:pPr>
        <w:widowControl/>
        <w:rPr>
          <w:lang w:val="en-GB" w:eastAsia="en-GB"/>
        </w:rPr>
      </w:pPr>
    </w:p>
    <w:p w14:paraId="4F86A882" w14:textId="77777777" w:rsidR="00565013" w:rsidRDefault="00565013">
      <w:pPr>
        <w:widowControl/>
        <w:rPr>
          <w:lang w:val="en-GB" w:eastAsia="en-GB"/>
        </w:rPr>
      </w:pPr>
      <w:r>
        <w:rPr>
          <w:lang w:val="en-GB" w:eastAsia="en-GB"/>
        </w:rPr>
        <w:br w:type="page"/>
      </w:r>
    </w:p>
    <w:p w14:paraId="359E5136" w14:textId="369E513C" w:rsidR="002A7D45" w:rsidRPr="002A7D45" w:rsidRDefault="002A7D45" w:rsidP="002662E6">
      <w:pPr>
        <w:pStyle w:val="TOC1"/>
      </w:pPr>
      <w:r w:rsidRPr="002A7D45">
        <w:lastRenderedPageBreak/>
        <w:t>Contents</w:t>
      </w:r>
    </w:p>
    <w:p w14:paraId="6354C264" w14:textId="27B37922" w:rsidR="00F81FA6" w:rsidRPr="00F81FA6" w:rsidRDefault="00565013" w:rsidP="002662E6">
      <w:pPr>
        <w:pStyle w:val="TOC1"/>
        <w:rPr>
          <w:rFonts w:eastAsiaTheme="minorEastAsia"/>
        </w:rPr>
      </w:pPr>
      <w:r w:rsidRPr="00F81FA6">
        <w:fldChar w:fldCharType="begin"/>
      </w:r>
      <w:r w:rsidRPr="00F81FA6">
        <w:instrText xml:space="preserve"> TOC \o "1-3" \h \z \u </w:instrText>
      </w:r>
      <w:r w:rsidRPr="00F81FA6">
        <w:fldChar w:fldCharType="separate"/>
      </w:r>
      <w:hyperlink w:anchor="_Toc80875358" w:history="1">
        <w:r w:rsidR="00F81FA6" w:rsidRPr="00F81FA6">
          <w:rPr>
            <w:rStyle w:val="Hyperlink"/>
          </w:rPr>
          <w:t>1</w:t>
        </w:r>
        <w:r w:rsidR="00F81FA6" w:rsidRPr="00F81FA6">
          <w:rPr>
            <w:rFonts w:eastAsiaTheme="minorEastAsia"/>
          </w:rPr>
          <w:tab/>
        </w:r>
        <w:r w:rsidR="00F81FA6" w:rsidRPr="00F81FA6">
          <w:rPr>
            <w:rStyle w:val="Hyperlink"/>
          </w:rPr>
          <w:t>Introduction</w:t>
        </w:r>
        <w:r w:rsidR="00F81FA6" w:rsidRPr="00F81FA6">
          <w:rPr>
            <w:webHidden/>
          </w:rPr>
          <w:tab/>
        </w:r>
        <w:r w:rsidR="00F81FA6" w:rsidRPr="00F81FA6">
          <w:rPr>
            <w:webHidden/>
          </w:rPr>
          <w:fldChar w:fldCharType="begin"/>
        </w:r>
        <w:r w:rsidR="00F81FA6" w:rsidRPr="00F81FA6">
          <w:rPr>
            <w:webHidden/>
          </w:rPr>
          <w:instrText xml:space="preserve"> PAGEREF _Toc80875358 \h </w:instrText>
        </w:r>
        <w:r w:rsidR="00F81FA6" w:rsidRPr="00F81FA6">
          <w:rPr>
            <w:webHidden/>
          </w:rPr>
        </w:r>
        <w:r w:rsidR="00F81FA6" w:rsidRPr="00F81FA6">
          <w:rPr>
            <w:webHidden/>
          </w:rPr>
          <w:fldChar w:fldCharType="separate"/>
        </w:r>
        <w:r w:rsidR="00F81FA6" w:rsidRPr="00F81FA6">
          <w:rPr>
            <w:webHidden/>
          </w:rPr>
          <w:t>1</w:t>
        </w:r>
        <w:r w:rsidR="00F81FA6" w:rsidRPr="00F81FA6">
          <w:rPr>
            <w:webHidden/>
          </w:rPr>
          <w:fldChar w:fldCharType="end"/>
        </w:r>
      </w:hyperlink>
    </w:p>
    <w:p w14:paraId="45B252DD" w14:textId="061520B4" w:rsidR="00F81FA6" w:rsidRPr="00F81FA6" w:rsidRDefault="008E4AC2" w:rsidP="002662E6">
      <w:pPr>
        <w:pStyle w:val="TOC1"/>
        <w:rPr>
          <w:rFonts w:eastAsiaTheme="minorEastAsia"/>
        </w:rPr>
      </w:pPr>
      <w:hyperlink w:anchor="_Toc80875359" w:history="1">
        <w:r w:rsidR="00F81FA6" w:rsidRPr="00F81FA6">
          <w:rPr>
            <w:rStyle w:val="Hyperlink"/>
            <w:lang w:val="en-US"/>
          </w:rPr>
          <w:t>2</w:t>
        </w:r>
        <w:r w:rsidR="00F81FA6" w:rsidRPr="00F81FA6">
          <w:rPr>
            <w:rFonts w:eastAsiaTheme="minorEastAsia"/>
          </w:rPr>
          <w:tab/>
        </w:r>
        <w:r w:rsidR="00F81FA6" w:rsidRPr="00F81FA6">
          <w:rPr>
            <w:rStyle w:val="Hyperlink"/>
            <w:lang w:val="en-US"/>
          </w:rPr>
          <w:t>Policy objectives</w:t>
        </w:r>
        <w:r w:rsidR="00F81FA6" w:rsidRPr="00F81FA6">
          <w:rPr>
            <w:webHidden/>
          </w:rPr>
          <w:tab/>
        </w:r>
        <w:r w:rsidR="00F81FA6" w:rsidRPr="00F81FA6">
          <w:rPr>
            <w:webHidden/>
          </w:rPr>
          <w:fldChar w:fldCharType="begin"/>
        </w:r>
        <w:r w:rsidR="00F81FA6" w:rsidRPr="00F81FA6">
          <w:rPr>
            <w:webHidden/>
          </w:rPr>
          <w:instrText xml:space="preserve"> PAGEREF _Toc80875359 \h </w:instrText>
        </w:r>
        <w:r w:rsidR="00F81FA6" w:rsidRPr="00F81FA6">
          <w:rPr>
            <w:webHidden/>
          </w:rPr>
        </w:r>
        <w:r w:rsidR="00F81FA6" w:rsidRPr="00F81FA6">
          <w:rPr>
            <w:webHidden/>
          </w:rPr>
          <w:fldChar w:fldCharType="separate"/>
        </w:r>
        <w:r w:rsidR="00F81FA6" w:rsidRPr="00F81FA6">
          <w:rPr>
            <w:webHidden/>
          </w:rPr>
          <w:t>1</w:t>
        </w:r>
        <w:r w:rsidR="00F81FA6" w:rsidRPr="00F81FA6">
          <w:rPr>
            <w:webHidden/>
          </w:rPr>
          <w:fldChar w:fldCharType="end"/>
        </w:r>
      </w:hyperlink>
    </w:p>
    <w:p w14:paraId="6521CEA3" w14:textId="0B2AFFB1" w:rsidR="00F81FA6" w:rsidRPr="00F81FA6" w:rsidRDefault="008E4AC2" w:rsidP="002662E6">
      <w:pPr>
        <w:pStyle w:val="TOC1"/>
        <w:rPr>
          <w:rFonts w:eastAsiaTheme="minorEastAsia"/>
        </w:rPr>
      </w:pPr>
      <w:hyperlink w:anchor="_Toc80875360" w:history="1">
        <w:r w:rsidR="00F81FA6" w:rsidRPr="00F81FA6">
          <w:rPr>
            <w:rStyle w:val="Hyperlink"/>
            <w:lang w:val="en-US"/>
          </w:rPr>
          <w:t>3</w:t>
        </w:r>
        <w:r w:rsidR="00F81FA6" w:rsidRPr="00F81FA6">
          <w:rPr>
            <w:rFonts w:eastAsiaTheme="minorEastAsia"/>
          </w:rPr>
          <w:tab/>
        </w:r>
        <w:r w:rsidR="00F81FA6" w:rsidRPr="00F81FA6">
          <w:rPr>
            <w:rStyle w:val="Hyperlink"/>
            <w:lang w:val="en-US"/>
          </w:rPr>
          <w:t>Purpose of the policy</w:t>
        </w:r>
        <w:r w:rsidR="00F81FA6" w:rsidRPr="00F81FA6">
          <w:rPr>
            <w:webHidden/>
          </w:rPr>
          <w:tab/>
        </w:r>
        <w:r w:rsidR="00F81FA6" w:rsidRPr="00F81FA6">
          <w:rPr>
            <w:webHidden/>
          </w:rPr>
          <w:fldChar w:fldCharType="begin"/>
        </w:r>
        <w:r w:rsidR="00F81FA6" w:rsidRPr="00F81FA6">
          <w:rPr>
            <w:webHidden/>
          </w:rPr>
          <w:instrText xml:space="preserve"> PAGEREF _Toc80875360 \h </w:instrText>
        </w:r>
        <w:r w:rsidR="00F81FA6" w:rsidRPr="00F81FA6">
          <w:rPr>
            <w:webHidden/>
          </w:rPr>
        </w:r>
        <w:r w:rsidR="00F81FA6" w:rsidRPr="00F81FA6">
          <w:rPr>
            <w:webHidden/>
          </w:rPr>
          <w:fldChar w:fldCharType="separate"/>
        </w:r>
        <w:r w:rsidR="00F81FA6" w:rsidRPr="00F81FA6">
          <w:rPr>
            <w:webHidden/>
          </w:rPr>
          <w:t>1</w:t>
        </w:r>
        <w:r w:rsidR="00F81FA6" w:rsidRPr="00F81FA6">
          <w:rPr>
            <w:webHidden/>
          </w:rPr>
          <w:fldChar w:fldCharType="end"/>
        </w:r>
      </w:hyperlink>
    </w:p>
    <w:p w14:paraId="5D0121B3" w14:textId="3F3310A5" w:rsidR="00F81FA6" w:rsidRPr="00F81FA6" w:rsidRDefault="008E4AC2" w:rsidP="002662E6">
      <w:pPr>
        <w:pStyle w:val="TOC1"/>
        <w:rPr>
          <w:rFonts w:eastAsiaTheme="minorEastAsia"/>
        </w:rPr>
      </w:pPr>
      <w:hyperlink w:anchor="_Toc80875361" w:history="1">
        <w:r w:rsidR="00F81FA6" w:rsidRPr="00F81FA6">
          <w:rPr>
            <w:rStyle w:val="Hyperlink"/>
          </w:rPr>
          <w:t>4</w:t>
        </w:r>
        <w:r w:rsidR="00F81FA6" w:rsidRPr="00F81FA6">
          <w:rPr>
            <w:rFonts w:eastAsiaTheme="minorEastAsia"/>
          </w:rPr>
          <w:tab/>
        </w:r>
        <w:r w:rsidR="00F81FA6" w:rsidRPr="00F81FA6">
          <w:rPr>
            <w:rStyle w:val="Hyperlink"/>
          </w:rPr>
          <w:t>Cambridgeshire Pension Fund policies</w:t>
        </w:r>
        <w:r w:rsidR="00F81FA6" w:rsidRPr="00F81FA6">
          <w:rPr>
            <w:webHidden/>
          </w:rPr>
          <w:tab/>
        </w:r>
        <w:r w:rsidR="00F81FA6" w:rsidRPr="00F81FA6">
          <w:rPr>
            <w:webHidden/>
          </w:rPr>
          <w:fldChar w:fldCharType="begin"/>
        </w:r>
        <w:r w:rsidR="00F81FA6" w:rsidRPr="00F81FA6">
          <w:rPr>
            <w:webHidden/>
          </w:rPr>
          <w:instrText xml:space="preserve"> PAGEREF _Toc80875361 \h </w:instrText>
        </w:r>
        <w:r w:rsidR="00F81FA6" w:rsidRPr="00F81FA6">
          <w:rPr>
            <w:webHidden/>
          </w:rPr>
        </w:r>
        <w:r w:rsidR="00F81FA6" w:rsidRPr="00F81FA6">
          <w:rPr>
            <w:webHidden/>
          </w:rPr>
          <w:fldChar w:fldCharType="separate"/>
        </w:r>
        <w:r w:rsidR="00F81FA6" w:rsidRPr="00F81FA6">
          <w:rPr>
            <w:webHidden/>
          </w:rPr>
          <w:t>2</w:t>
        </w:r>
        <w:r w:rsidR="00F81FA6" w:rsidRPr="00F81FA6">
          <w:rPr>
            <w:webHidden/>
          </w:rPr>
          <w:fldChar w:fldCharType="end"/>
        </w:r>
      </w:hyperlink>
    </w:p>
    <w:p w14:paraId="0F76ABBE" w14:textId="4352B910" w:rsidR="00F81FA6" w:rsidRPr="00F81FA6" w:rsidRDefault="008E4AC2" w:rsidP="00A705D8">
      <w:pPr>
        <w:pStyle w:val="TOC2"/>
        <w:rPr>
          <w:rFonts w:eastAsiaTheme="minorEastAsia"/>
          <w:noProof/>
          <w:lang w:val="en-GB" w:eastAsia="en-GB"/>
        </w:rPr>
      </w:pPr>
      <w:hyperlink w:anchor="_Toc80875362" w:history="1">
        <w:r w:rsidR="00F81FA6" w:rsidRPr="00F81FA6">
          <w:rPr>
            <w:rStyle w:val="Hyperlink"/>
            <w:rFonts w:asciiTheme="minorHAnsi" w:hAnsiTheme="minorHAnsi" w:cstheme="minorHAnsi"/>
            <w:noProof/>
            <w:sz w:val="22"/>
            <w:szCs w:val="22"/>
          </w:rPr>
          <w:t>4.1</w:t>
        </w:r>
        <w:r w:rsidR="0034524F">
          <w:rPr>
            <w:rFonts w:eastAsiaTheme="minorEastAsia"/>
            <w:noProof/>
            <w:lang w:val="en-GB" w:eastAsia="en-GB"/>
          </w:rPr>
          <w:t xml:space="preserve"> </w:t>
        </w:r>
        <w:r w:rsidR="00F81FA6" w:rsidRPr="00F81FA6">
          <w:rPr>
            <w:rStyle w:val="Hyperlink"/>
            <w:rFonts w:asciiTheme="minorHAnsi" w:hAnsiTheme="minorHAnsi" w:cstheme="minorHAnsi"/>
            <w:noProof/>
            <w:sz w:val="22"/>
            <w:szCs w:val="22"/>
          </w:rPr>
          <w:t>Admission bodies</w:t>
        </w:r>
        <w:r w:rsidR="00F81FA6" w:rsidRPr="00F81FA6">
          <w:rPr>
            <w:noProof/>
            <w:webHidden/>
          </w:rPr>
          <w:tab/>
        </w:r>
        <w:r w:rsidR="00F81FA6" w:rsidRPr="00F81FA6">
          <w:rPr>
            <w:noProof/>
            <w:webHidden/>
          </w:rPr>
          <w:fldChar w:fldCharType="begin"/>
        </w:r>
        <w:r w:rsidR="00F81FA6" w:rsidRPr="00F81FA6">
          <w:rPr>
            <w:noProof/>
            <w:webHidden/>
          </w:rPr>
          <w:instrText xml:space="preserve"> PAGEREF _Toc80875362 \h </w:instrText>
        </w:r>
        <w:r w:rsidR="00F81FA6" w:rsidRPr="00F81FA6">
          <w:rPr>
            <w:noProof/>
            <w:webHidden/>
          </w:rPr>
        </w:r>
        <w:r w:rsidR="00F81FA6" w:rsidRPr="00F81FA6">
          <w:rPr>
            <w:noProof/>
            <w:webHidden/>
          </w:rPr>
          <w:fldChar w:fldCharType="separate"/>
        </w:r>
        <w:r w:rsidR="00F81FA6" w:rsidRPr="00F81FA6">
          <w:rPr>
            <w:noProof/>
            <w:webHidden/>
          </w:rPr>
          <w:t>2</w:t>
        </w:r>
        <w:r w:rsidR="00F81FA6" w:rsidRPr="00F81FA6">
          <w:rPr>
            <w:noProof/>
            <w:webHidden/>
          </w:rPr>
          <w:fldChar w:fldCharType="end"/>
        </w:r>
      </w:hyperlink>
    </w:p>
    <w:p w14:paraId="56A75816" w14:textId="29347DAF"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3" w:history="1">
        <w:r w:rsidR="00F81FA6" w:rsidRPr="00F81FA6">
          <w:rPr>
            <w:rStyle w:val="Hyperlink"/>
            <w:rFonts w:asciiTheme="minorHAnsi" w:hAnsiTheme="minorHAnsi" w:cstheme="minorHAnsi"/>
            <w:noProof/>
            <w:sz w:val="22"/>
            <w:szCs w:val="22"/>
          </w:rPr>
          <w:t>4.1.1</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lang w:eastAsia="en-GB"/>
          </w:rPr>
          <w:t>Bond, indemnity or guarantor requirements for entry</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_Toc80875363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2</w:t>
        </w:r>
        <w:r w:rsidR="00F81FA6" w:rsidRPr="00F81FA6">
          <w:rPr>
            <w:rFonts w:asciiTheme="minorHAnsi" w:hAnsiTheme="minorHAnsi" w:cstheme="minorHAnsi"/>
            <w:noProof/>
            <w:webHidden/>
            <w:sz w:val="22"/>
            <w:szCs w:val="22"/>
          </w:rPr>
          <w:fldChar w:fldCharType="end"/>
        </w:r>
      </w:hyperlink>
    </w:p>
    <w:p w14:paraId="6CEB2971" w14:textId="68B204A0"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4" w:history="1">
        <w:r w:rsidR="00F81FA6" w:rsidRPr="00F81FA6">
          <w:rPr>
            <w:rStyle w:val="Hyperlink"/>
            <w:rFonts w:asciiTheme="minorHAnsi" w:hAnsiTheme="minorHAnsi" w:cstheme="minorHAnsi"/>
            <w:noProof/>
            <w:sz w:val="22"/>
            <w:szCs w:val="22"/>
          </w:rPr>
          <w:t>4.1.2</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lang w:eastAsia="en-GB"/>
          </w:rPr>
          <w:t>Approval for becoming an admission body</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_Toc80875364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3</w:t>
        </w:r>
        <w:r w:rsidR="00F81FA6" w:rsidRPr="00F81FA6">
          <w:rPr>
            <w:rFonts w:asciiTheme="minorHAnsi" w:hAnsiTheme="minorHAnsi" w:cstheme="minorHAnsi"/>
            <w:noProof/>
            <w:webHidden/>
            <w:sz w:val="22"/>
            <w:szCs w:val="22"/>
          </w:rPr>
          <w:fldChar w:fldCharType="end"/>
        </w:r>
      </w:hyperlink>
    </w:p>
    <w:p w14:paraId="14A1D202" w14:textId="58E3CE12"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5" w:history="1">
        <w:r w:rsidR="00F81FA6" w:rsidRPr="00F81FA6">
          <w:rPr>
            <w:rStyle w:val="Hyperlink"/>
            <w:rFonts w:asciiTheme="minorHAnsi" w:hAnsiTheme="minorHAnsi" w:cstheme="minorHAnsi"/>
            <w:noProof/>
            <w:sz w:val="22"/>
            <w:szCs w:val="22"/>
          </w:rPr>
          <w:t>4.1.3</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Allocation of assets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_Toc80875365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3</w:t>
        </w:r>
        <w:r w:rsidR="00F81FA6" w:rsidRPr="00F81FA6">
          <w:rPr>
            <w:rFonts w:asciiTheme="minorHAnsi" w:hAnsiTheme="minorHAnsi" w:cstheme="minorHAnsi"/>
            <w:noProof/>
            <w:webHidden/>
            <w:sz w:val="22"/>
            <w:szCs w:val="22"/>
          </w:rPr>
          <w:fldChar w:fldCharType="end"/>
        </w:r>
      </w:hyperlink>
    </w:p>
    <w:p w14:paraId="1F02573E" w14:textId="0E2A8402"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6" w:history="1">
        <w:r w:rsidR="00F81FA6" w:rsidRPr="00F81FA6">
          <w:rPr>
            <w:rStyle w:val="Hyperlink"/>
            <w:rFonts w:asciiTheme="minorHAnsi" w:hAnsiTheme="minorHAnsi" w:cstheme="minorHAnsi"/>
            <w:noProof/>
            <w:sz w:val="22"/>
            <w:szCs w:val="22"/>
          </w:rPr>
          <w:t>4.1.4</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Investment strategy</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_Toc80875366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4</w:t>
        </w:r>
        <w:r w:rsidR="00F81FA6" w:rsidRPr="00F81FA6">
          <w:rPr>
            <w:rFonts w:asciiTheme="minorHAnsi" w:hAnsiTheme="minorHAnsi" w:cstheme="minorHAnsi"/>
            <w:noProof/>
            <w:webHidden/>
            <w:sz w:val="22"/>
            <w:szCs w:val="22"/>
          </w:rPr>
          <w:fldChar w:fldCharType="end"/>
        </w:r>
      </w:hyperlink>
    </w:p>
    <w:p w14:paraId="37D9A810" w14:textId="4FCD7CFB"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7" w:history="1">
        <w:r w:rsidR="00F81FA6" w:rsidRPr="00F81FA6">
          <w:rPr>
            <w:rStyle w:val="Hyperlink"/>
            <w:rFonts w:asciiTheme="minorHAnsi" w:hAnsiTheme="minorHAnsi" w:cstheme="minorHAnsi"/>
            <w:noProof/>
            <w:sz w:val="22"/>
            <w:szCs w:val="22"/>
          </w:rPr>
          <w:t>4.1.5</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Contribution rates and other costs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_Toc80875367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4</w:t>
        </w:r>
        <w:r w:rsidR="00F81FA6" w:rsidRPr="00F81FA6">
          <w:rPr>
            <w:rFonts w:asciiTheme="minorHAnsi" w:hAnsiTheme="minorHAnsi" w:cstheme="minorHAnsi"/>
            <w:noProof/>
            <w:webHidden/>
            <w:sz w:val="22"/>
            <w:szCs w:val="22"/>
          </w:rPr>
          <w:fldChar w:fldCharType="end"/>
        </w:r>
      </w:hyperlink>
    </w:p>
    <w:p w14:paraId="34112CAE" w14:textId="31A85B59"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8" w:history="1">
        <w:r w:rsidR="00F81FA6" w:rsidRPr="00F81FA6">
          <w:rPr>
            <w:rStyle w:val="Hyperlink"/>
            <w:rFonts w:asciiTheme="minorHAnsi" w:hAnsiTheme="minorHAnsi" w:cstheme="minorHAnsi"/>
            <w:noProof/>
            <w:sz w:val="22"/>
            <w:szCs w:val="22"/>
          </w:rPr>
          <w:t>4.1.6</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Pass through arrangements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_Toc80875368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5</w:t>
        </w:r>
        <w:r w:rsidR="00F81FA6" w:rsidRPr="00F81FA6">
          <w:rPr>
            <w:rFonts w:asciiTheme="minorHAnsi" w:hAnsiTheme="minorHAnsi" w:cstheme="minorHAnsi"/>
            <w:noProof/>
            <w:webHidden/>
            <w:sz w:val="22"/>
            <w:szCs w:val="22"/>
          </w:rPr>
          <w:fldChar w:fldCharType="end"/>
        </w:r>
      </w:hyperlink>
    </w:p>
    <w:p w14:paraId="11EBD1E6" w14:textId="7D33B2F9"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69" w:history="1">
        <w:r w:rsidR="00F81FA6" w:rsidRPr="00F81FA6">
          <w:rPr>
            <w:rStyle w:val="Hyperlink"/>
            <w:rFonts w:asciiTheme="minorHAnsi" w:hAnsiTheme="minorHAnsi" w:cstheme="minorHAnsi"/>
            <w:noProof/>
            <w:sz w:val="22"/>
            <w:szCs w:val="22"/>
          </w:rPr>
          <w:t>4.1.7</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Ongoing monitoring of admission bodies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_Toc80875369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5</w:t>
        </w:r>
        <w:r w:rsidR="00F81FA6" w:rsidRPr="00F81FA6">
          <w:rPr>
            <w:rFonts w:asciiTheme="minorHAnsi" w:hAnsiTheme="minorHAnsi" w:cstheme="minorHAnsi"/>
            <w:noProof/>
            <w:webHidden/>
            <w:sz w:val="22"/>
            <w:szCs w:val="22"/>
          </w:rPr>
          <w:fldChar w:fldCharType="end"/>
        </w:r>
      </w:hyperlink>
    </w:p>
    <w:p w14:paraId="1EE0315C" w14:textId="0B811FAC"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0" w:history="1">
        <w:r w:rsidR="00F81FA6" w:rsidRPr="00F81FA6">
          <w:rPr>
            <w:rStyle w:val="Hyperlink"/>
            <w:rFonts w:asciiTheme="minorHAnsi" w:hAnsiTheme="minorHAnsi" w:cstheme="minorHAnsi"/>
            <w:noProof/>
            <w:sz w:val="22"/>
            <w:szCs w:val="22"/>
          </w:rPr>
          <w:t>4.1.8</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Cessation terms and requirements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_Toc80875370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6</w:t>
        </w:r>
        <w:r w:rsidR="00F81FA6" w:rsidRPr="00F81FA6">
          <w:rPr>
            <w:rFonts w:asciiTheme="minorHAnsi" w:hAnsiTheme="minorHAnsi" w:cstheme="minorHAnsi"/>
            <w:noProof/>
            <w:webHidden/>
            <w:sz w:val="22"/>
            <w:szCs w:val="22"/>
          </w:rPr>
          <w:fldChar w:fldCharType="end"/>
        </w:r>
      </w:hyperlink>
    </w:p>
    <w:p w14:paraId="19D250DE" w14:textId="0D67F46D"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1" w:history="1">
        <w:r w:rsidR="00F81FA6" w:rsidRPr="00F81FA6">
          <w:rPr>
            <w:rStyle w:val="Hyperlink"/>
            <w:rFonts w:asciiTheme="minorHAnsi" w:hAnsiTheme="minorHAnsi" w:cstheme="minorHAnsi"/>
            <w:noProof/>
            <w:sz w:val="22"/>
            <w:szCs w:val="22"/>
          </w:rPr>
          <w:t>4.1.9</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Future cessation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_Toc80875371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6</w:t>
        </w:r>
        <w:r w:rsidR="00F81FA6" w:rsidRPr="00F81FA6">
          <w:rPr>
            <w:rFonts w:asciiTheme="minorHAnsi" w:hAnsiTheme="minorHAnsi" w:cstheme="minorHAnsi"/>
            <w:noProof/>
            <w:webHidden/>
            <w:sz w:val="22"/>
            <w:szCs w:val="22"/>
          </w:rPr>
          <w:fldChar w:fldCharType="end"/>
        </w:r>
      </w:hyperlink>
    </w:p>
    <w:p w14:paraId="34752233" w14:textId="3583CA8E"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2" w:history="1">
        <w:r w:rsidR="00F81FA6" w:rsidRPr="00F81FA6">
          <w:rPr>
            <w:rStyle w:val="Hyperlink"/>
            <w:rFonts w:asciiTheme="minorHAnsi" w:hAnsiTheme="minorHAnsi" w:cstheme="minorHAnsi"/>
            <w:noProof/>
            <w:sz w:val="22"/>
            <w:szCs w:val="22"/>
          </w:rPr>
          <w:t>4.1.10</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Deferral of cessation debt</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_Toc80875372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6</w:t>
        </w:r>
        <w:r w:rsidR="00F81FA6" w:rsidRPr="00F81FA6">
          <w:rPr>
            <w:rFonts w:asciiTheme="minorHAnsi" w:hAnsiTheme="minorHAnsi" w:cstheme="minorHAnsi"/>
            <w:noProof/>
            <w:webHidden/>
            <w:sz w:val="22"/>
            <w:szCs w:val="22"/>
          </w:rPr>
          <w:fldChar w:fldCharType="end"/>
        </w:r>
      </w:hyperlink>
    </w:p>
    <w:p w14:paraId="0CADD84B" w14:textId="3759A94C"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3" w:history="1">
        <w:r w:rsidR="00F81FA6" w:rsidRPr="00F81FA6">
          <w:rPr>
            <w:rStyle w:val="Hyperlink"/>
            <w:rFonts w:asciiTheme="minorHAnsi" w:hAnsiTheme="minorHAnsi" w:cstheme="minorHAnsi"/>
            <w:noProof/>
            <w:sz w:val="22"/>
            <w:szCs w:val="22"/>
          </w:rPr>
          <w:t>4.1.11</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Deferred debt agreement (“DDA”) alternative to immediate cessation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_Toc80875373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6</w:t>
        </w:r>
        <w:r w:rsidR="00F81FA6" w:rsidRPr="00F81FA6">
          <w:rPr>
            <w:rFonts w:asciiTheme="minorHAnsi" w:hAnsiTheme="minorHAnsi" w:cstheme="minorHAnsi"/>
            <w:noProof/>
            <w:webHidden/>
            <w:sz w:val="22"/>
            <w:szCs w:val="22"/>
          </w:rPr>
          <w:fldChar w:fldCharType="end"/>
        </w:r>
      </w:hyperlink>
    </w:p>
    <w:p w14:paraId="044F7FF4" w14:textId="07B29D9A"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4" w:history="1">
        <w:r w:rsidR="00F81FA6" w:rsidRPr="00F81FA6">
          <w:rPr>
            <w:rStyle w:val="Hyperlink"/>
            <w:rFonts w:asciiTheme="minorHAnsi" w:hAnsiTheme="minorHAnsi" w:cstheme="minorHAnsi"/>
            <w:noProof/>
            <w:sz w:val="22"/>
            <w:szCs w:val="22"/>
          </w:rPr>
          <w:t>4.1.12</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Basis of termination valuation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_Toc80875374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7</w:t>
        </w:r>
        <w:r w:rsidR="00F81FA6" w:rsidRPr="00F81FA6">
          <w:rPr>
            <w:rFonts w:asciiTheme="minorHAnsi" w:hAnsiTheme="minorHAnsi" w:cstheme="minorHAnsi"/>
            <w:noProof/>
            <w:webHidden/>
            <w:sz w:val="22"/>
            <w:szCs w:val="22"/>
          </w:rPr>
          <w:fldChar w:fldCharType="end"/>
        </w:r>
      </w:hyperlink>
    </w:p>
    <w:p w14:paraId="78EC6AC9" w14:textId="4BE68070"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5" w:history="1">
        <w:r w:rsidR="00F81FA6" w:rsidRPr="00F81FA6">
          <w:rPr>
            <w:rStyle w:val="Hyperlink"/>
            <w:rFonts w:asciiTheme="minorHAnsi" w:hAnsiTheme="minorHAnsi" w:cstheme="minorHAnsi"/>
            <w:noProof/>
            <w:sz w:val="22"/>
            <w:szCs w:val="22"/>
          </w:rPr>
          <w:t>4.1.13</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Payment of cessation debt</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_Toc80875375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8</w:t>
        </w:r>
        <w:r w:rsidR="00F81FA6" w:rsidRPr="00F81FA6">
          <w:rPr>
            <w:rFonts w:asciiTheme="minorHAnsi" w:hAnsiTheme="minorHAnsi" w:cstheme="minorHAnsi"/>
            <w:noProof/>
            <w:webHidden/>
            <w:sz w:val="22"/>
            <w:szCs w:val="22"/>
          </w:rPr>
          <w:fldChar w:fldCharType="end"/>
        </w:r>
      </w:hyperlink>
    </w:p>
    <w:p w14:paraId="20C9953C" w14:textId="671046CD"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6" w:history="1">
        <w:r w:rsidR="00F81FA6" w:rsidRPr="00F81FA6">
          <w:rPr>
            <w:rStyle w:val="Hyperlink"/>
            <w:rFonts w:asciiTheme="minorHAnsi" w:hAnsiTheme="minorHAnsi" w:cstheme="minorHAnsi"/>
            <w:noProof/>
            <w:sz w:val="22"/>
            <w:szCs w:val="22"/>
          </w:rPr>
          <w:t>4.1.14</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lang w:eastAsia="en-GB"/>
          </w:rPr>
          <w:t>Payment of surplus / exit credit</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_Toc80875376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9</w:t>
        </w:r>
        <w:r w:rsidR="00F81FA6" w:rsidRPr="00F81FA6">
          <w:rPr>
            <w:rFonts w:asciiTheme="minorHAnsi" w:hAnsiTheme="minorHAnsi" w:cstheme="minorHAnsi"/>
            <w:noProof/>
            <w:webHidden/>
            <w:sz w:val="22"/>
            <w:szCs w:val="22"/>
          </w:rPr>
          <w:fldChar w:fldCharType="end"/>
        </w:r>
      </w:hyperlink>
    </w:p>
    <w:p w14:paraId="706EEE25" w14:textId="32E36807" w:rsidR="00F81FA6" w:rsidRPr="00F81FA6" w:rsidRDefault="008E4AC2" w:rsidP="00A705D8">
      <w:pPr>
        <w:pStyle w:val="TOC2"/>
        <w:rPr>
          <w:rFonts w:eastAsiaTheme="minorEastAsia"/>
          <w:noProof/>
          <w:lang w:val="en-GB" w:eastAsia="en-GB"/>
        </w:rPr>
      </w:pPr>
      <w:hyperlink w:anchor="_Toc80875377" w:history="1">
        <w:r w:rsidR="00F81FA6" w:rsidRPr="00F81FA6">
          <w:rPr>
            <w:rStyle w:val="Hyperlink"/>
            <w:rFonts w:asciiTheme="minorHAnsi" w:hAnsiTheme="minorHAnsi" w:cstheme="minorHAnsi"/>
            <w:noProof/>
            <w:sz w:val="22"/>
            <w:szCs w:val="22"/>
          </w:rPr>
          <w:t>4.2</w:t>
        </w:r>
        <w:r w:rsidR="0034524F">
          <w:rPr>
            <w:rFonts w:eastAsiaTheme="minorEastAsia"/>
            <w:noProof/>
            <w:lang w:val="en-GB" w:eastAsia="en-GB"/>
          </w:rPr>
          <w:t xml:space="preserve"> </w:t>
        </w:r>
        <w:r w:rsidR="00F81FA6" w:rsidRPr="00F81FA6">
          <w:rPr>
            <w:rStyle w:val="Hyperlink"/>
            <w:rFonts w:asciiTheme="minorHAnsi" w:hAnsiTheme="minorHAnsi" w:cstheme="minorHAnsi"/>
            <w:noProof/>
            <w:sz w:val="22"/>
            <w:szCs w:val="22"/>
          </w:rPr>
          <w:t>Scheduled and designating bodies (“scheme employers”)</w:t>
        </w:r>
        <w:r w:rsidR="00F81FA6" w:rsidRPr="00F81FA6">
          <w:rPr>
            <w:noProof/>
            <w:webHidden/>
          </w:rPr>
          <w:tab/>
        </w:r>
        <w:r w:rsidR="00F81FA6" w:rsidRPr="00F81FA6">
          <w:rPr>
            <w:noProof/>
            <w:webHidden/>
          </w:rPr>
          <w:fldChar w:fldCharType="begin"/>
        </w:r>
        <w:r w:rsidR="00F81FA6" w:rsidRPr="00F81FA6">
          <w:rPr>
            <w:noProof/>
            <w:webHidden/>
          </w:rPr>
          <w:instrText xml:space="preserve"> PAGEREF _Toc80875377 \h </w:instrText>
        </w:r>
        <w:r w:rsidR="00F81FA6" w:rsidRPr="00F81FA6">
          <w:rPr>
            <w:noProof/>
            <w:webHidden/>
          </w:rPr>
        </w:r>
        <w:r w:rsidR="00F81FA6" w:rsidRPr="00F81FA6">
          <w:rPr>
            <w:noProof/>
            <w:webHidden/>
          </w:rPr>
          <w:fldChar w:fldCharType="separate"/>
        </w:r>
        <w:r w:rsidR="00F81FA6" w:rsidRPr="00F81FA6">
          <w:rPr>
            <w:noProof/>
            <w:webHidden/>
          </w:rPr>
          <w:t>9</w:t>
        </w:r>
        <w:r w:rsidR="00F81FA6" w:rsidRPr="00F81FA6">
          <w:rPr>
            <w:noProof/>
            <w:webHidden/>
          </w:rPr>
          <w:fldChar w:fldCharType="end"/>
        </w:r>
      </w:hyperlink>
    </w:p>
    <w:p w14:paraId="6AB2E8FD" w14:textId="629AAED4"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8" w:history="1">
        <w:r w:rsidR="00F81FA6" w:rsidRPr="00F81FA6">
          <w:rPr>
            <w:rStyle w:val="Hyperlink"/>
            <w:rFonts w:asciiTheme="minorHAnsi" w:hAnsiTheme="minorHAnsi" w:cstheme="minorHAnsi"/>
            <w:noProof/>
            <w:sz w:val="22"/>
            <w:szCs w:val="22"/>
          </w:rPr>
          <w:t>4.2.1</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Allocation of assets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_Toc80875378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9</w:t>
        </w:r>
        <w:r w:rsidR="00F81FA6" w:rsidRPr="00F81FA6">
          <w:rPr>
            <w:rFonts w:asciiTheme="minorHAnsi" w:hAnsiTheme="minorHAnsi" w:cstheme="minorHAnsi"/>
            <w:noProof/>
            <w:webHidden/>
            <w:sz w:val="22"/>
            <w:szCs w:val="22"/>
          </w:rPr>
          <w:fldChar w:fldCharType="end"/>
        </w:r>
      </w:hyperlink>
    </w:p>
    <w:p w14:paraId="6CA1334F" w14:textId="379B2386"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79" w:history="1">
        <w:r w:rsidR="00F81FA6" w:rsidRPr="00F81FA6">
          <w:rPr>
            <w:rStyle w:val="Hyperlink"/>
            <w:rFonts w:asciiTheme="minorHAnsi" w:hAnsiTheme="minorHAnsi" w:cstheme="minorHAnsi"/>
            <w:noProof/>
            <w:sz w:val="22"/>
            <w:szCs w:val="22"/>
          </w:rPr>
          <w:t>4.2.2</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Matched investment strategy</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_Toc80875379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10</w:t>
        </w:r>
        <w:r w:rsidR="00F81FA6" w:rsidRPr="00F81FA6">
          <w:rPr>
            <w:rFonts w:asciiTheme="minorHAnsi" w:hAnsiTheme="minorHAnsi" w:cstheme="minorHAnsi"/>
            <w:noProof/>
            <w:webHidden/>
            <w:sz w:val="22"/>
            <w:szCs w:val="22"/>
          </w:rPr>
          <w:fldChar w:fldCharType="end"/>
        </w:r>
      </w:hyperlink>
    </w:p>
    <w:p w14:paraId="7F3A5222" w14:textId="321C478C"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0" w:history="1">
        <w:r w:rsidR="00F81FA6" w:rsidRPr="00F81FA6">
          <w:rPr>
            <w:rStyle w:val="Hyperlink"/>
            <w:rFonts w:asciiTheme="minorHAnsi" w:hAnsiTheme="minorHAnsi" w:cstheme="minorHAnsi"/>
            <w:noProof/>
            <w:sz w:val="22"/>
            <w:szCs w:val="22"/>
          </w:rPr>
          <w:t>4.2.3</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Contribution rates and other costs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_Toc80875380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10</w:t>
        </w:r>
        <w:r w:rsidR="00F81FA6" w:rsidRPr="00F81FA6">
          <w:rPr>
            <w:rFonts w:asciiTheme="minorHAnsi" w:hAnsiTheme="minorHAnsi" w:cstheme="minorHAnsi"/>
            <w:noProof/>
            <w:webHidden/>
            <w:sz w:val="22"/>
            <w:szCs w:val="22"/>
          </w:rPr>
          <w:fldChar w:fldCharType="end"/>
        </w:r>
      </w:hyperlink>
    </w:p>
    <w:p w14:paraId="7B6DED0A" w14:textId="5A308920"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1" w:history="1">
        <w:r w:rsidR="00F81FA6" w:rsidRPr="00F81FA6">
          <w:rPr>
            <w:rStyle w:val="Hyperlink"/>
            <w:rFonts w:asciiTheme="minorHAnsi" w:hAnsiTheme="minorHAnsi" w:cstheme="minorHAnsi"/>
            <w:noProof/>
            <w:sz w:val="22"/>
            <w:szCs w:val="22"/>
          </w:rPr>
          <w:t>4.2.4</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Ongoing monitoring of scheme employers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_Toc80875381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11</w:t>
        </w:r>
        <w:r w:rsidR="00F81FA6" w:rsidRPr="00F81FA6">
          <w:rPr>
            <w:rFonts w:asciiTheme="minorHAnsi" w:hAnsiTheme="minorHAnsi" w:cstheme="minorHAnsi"/>
            <w:noProof/>
            <w:webHidden/>
            <w:sz w:val="22"/>
            <w:szCs w:val="22"/>
          </w:rPr>
          <w:fldChar w:fldCharType="end"/>
        </w:r>
      </w:hyperlink>
    </w:p>
    <w:p w14:paraId="432BA13A" w14:textId="4CA52C90"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2" w:history="1">
        <w:r w:rsidR="00F81FA6" w:rsidRPr="00F81FA6">
          <w:rPr>
            <w:rStyle w:val="Hyperlink"/>
            <w:rFonts w:asciiTheme="minorHAnsi" w:hAnsiTheme="minorHAnsi" w:cstheme="minorHAnsi"/>
            <w:noProof/>
            <w:sz w:val="22"/>
            <w:szCs w:val="22"/>
          </w:rPr>
          <w:t>4.2.5</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Cessation terms and requirements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_Toc80875382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11</w:t>
        </w:r>
        <w:r w:rsidR="00F81FA6" w:rsidRPr="00F81FA6">
          <w:rPr>
            <w:rFonts w:asciiTheme="minorHAnsi" w:hAnsiTheme="minorHAnsi" w:cstheme="minorHAnsi"/>
            <w:noProof/>
            <w:webHidden/>
            <w:sz w:val="22"/>
            <w:szCs w:val="22"/>
          </w:rPr>
          <w:fldChar w:fldCharType="end"/>
        </w:r>
      </w:hyperlink>
    </w:p>
    <w:p w14:paraId="7BD50D00" w14:textId="7CE4FFED"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3" w:history="1">
        <w:r w:rsidR="00F81FA6" w:rsidRPr="00F81FA6">
          <w:rPr>
            <w:rStyle w:val="Hyperlink"/>
            <w:rFonts w:asciiTheme="minorHAnsi" w:hAnsiTheme="minorHAnsi" w:cstheme="minorHAnsi"/>
            <w:noProof/>
            <w:sz w:val="22"/>
            <w:szCs w:val="22"/>
          </w:rPr>
          <w:t>4.2.6</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Future cessations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_Toc80875383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11</w:t>
        </w:r>
        <w:r w:rsidR="00F81FA6" w:rsidRPr="00F81FA6">
          <w:rPr>
            <w:rFonts w:asciiTheme="minorHAnsi" w:hAnsiTheme="minorHAnsi" w:cstheme="minorHAnsi"/>
            <w:noProof/>
            <w:webHidden/>
            <w:sz w:val="22"/>
            <w:szCs w:val="22"/>
          </w:rPr>
          <w:fldChar w:fldCharType="end"/>
        </w:r>
      </w:hyperlink>
    </w:p>
    <w:p w14:paraId="3760BE86" w14:textId="7F3D4BD0"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4" w:history="1">
        <w:r w:rsidR="00F81FA6" w:rsidRPr="00F81FA6">
          <w:rPr>
            <w:rStyle w:val="Hyperlink"/>
            <w:rFonts w:asciiTheme="minorHAnsi" w:hAnsiTheme="minorHAnsi" w:cstheme="minorHAnsi"/>
            <w:noProof/>
            <w:sz w:val="22"/>
            <w:szCs w:val="22"/>
          </w:rPr>
          <w:t>4.2.7</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Deferral of cessation debt</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_Toc80875384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11</w:t>
        </w:r>
        <w:r w:rsidR="00F81FA6" w:rsidRPr="00F81FA6">
          <w:rPr>
            <w:rFonts w:asciiTheme="minorHAnsi" w:hAnsiTheme="minorHAnsi" w:cstheme="minorHAnsi"/>
            <w:noProof/>
            <w:webHidden/>
            <w:sz w:val="22"/>
            <w:szCs w:val="22"/>
          </w:rPr>
          <w:fldChar w:fldCharType="end"/>
        </w:r>
      </w:hyperlink>
    </w:p>
    <w:p w14:paraId="1579E888" w14:textId="7CA36011"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5" w:history="1">
        <w:r w:rsidR="00F81FA6" w:rsidRPr="00F81FA6">
          <w:rPr>
            <w:rStyle w:val="Hyperlink"/>
            <w:rFonts w:asciiTheme="minorHAnsi" w:hAnsiTheme="minorHAnsi" w:cstheme="minorHAnsi"/>
            <w:noProof/>
            <w:sz w:val="22"/>
            <w:szCs w:val="22"/>
          </w:rPr>
          <w:t>4.2.8</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Deferred debt agreement (“DDA”) alternative to immediate cessation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_Toc80875385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11</w:t>
        </w:r>
        <w:r w:rsidR="00F81FA6" w:rsidRPr="00F81FA6">
          <w:rPr>
            <w:rFonts w:asciiTheme="minorHAnsi" w:hAnsiTheme="minorHAnsi" w:cstheme="minorHAnsi"/>
            <w:noProof/>
            <w:webHidden/>
            <w:sz w:val="22"/>
            <w:szCs w:val="22"/>
          </w:rPr>
          <w:fldChar w:fldCharType="end"/>
        </w:r>
      </w:hyperlink>
    </w:p>
    <w:p w14:paraId="00DA78AF" w14:textId="110EF7B9"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6" w:history="1">
        <w:r w:rsidR="00F81FA6" w:rsidRPr="00F81FA6">
          <w:rPr>
            <w:rStyle w:val="Hyperlink"/>
            <w:rFonts w:asciiTheme="minorHAnsi" w:hAnsiTheme="minorHAnsi" w:cstheme="minorHAnsi"/>
            <w:noProof/>
            <w:sz w:val="22"/>
            <w:szCs w:val="22"/>
          </w:rPr>
          <w:t>4.2.9</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Basis of termination valuation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_Toc80875386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11</w:t>
        </w:r>
        <w:r w:rsidR="00F81FA6" w:rsidRPr="00F81FA6">
          <w:rPr>
            <w:rFonts w:asciiTheme="minorHAnsi" w:hAnsiTheme="minorHAnsi" w:cstheme="minorHAnsi"/>
            <w:noProof/>
            <w:webHidden/>
            <w:sz w:val="22"/>
            <w:szCs w:val="22"/>
          </w:rPr>
          <w:fldChar w:fldCharType="end"/>
        </w:r>
      </w:hyperlink>
    </w:p>
    <w:p w14:paraId="58548BCB" w14:textId="000F9477"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7" w:history="1">
        <w:r w:rsidR="00F81FA6" w:rsidRPr="00F81FA6">
          <w:rPr>
            <w:rStyle w:val="Hyperlink"/>
            <w:rFonts w:asciiTheme="minorHAnsi" w:hAnsiTheme="minorHAnsi" w:cstheme="minorHAnsi"/>
            <w:noProof/>
            <w:sz w:val="22"/>
            <w:szCs w:val="22"/>
          </w:rPr>
          <w:t>4.2.10</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Payment of cessation debt</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_Toc80875387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12</w:t>
        </w:r>
        <w:r w:rsidR="00F81FA6" w:rsidRPr="00F81FA6">
          <w:rPr>
            <w:rFonts w:asciiTheme="minorHAnsi" w:hAnsiTheme="minorHAnsi" w:cstheme="minorHAnsi"/>
            <w:noProof/>
            <w:webHidden/>
            <w:sz w:val="22"/>
            <w:szCs w:val="22"/>
          </w:rPr>
          <w:fldChar w:fldCharType="end"/>
        </w:r>
      </w:hyperlink>
    </w:p>
    <w:p w14:paraId="3E83C9C2" w14:textId="1C1244C4"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88" w:history="1">
        <w:r w:rsidR="00F81FA6" w:rsidRPr="00F81FA6">
          <w:rPr>
            <w:rStyle w:val="Hyperlink"/>
            <w:rFonts w:asciiTheme="minorHAnsi" w:hAnsiTheme="minorHAnsi" w:cstheme="minorHAnsi"/>
            <w:noProof/>
            <w:sz w:val="22"/>
            <w:szCs w:val="22"/>
          </w:rPr>
          <w:t>4.2.11</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Payment of surplus / exit credit</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_Toc80875388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12</w:t>
        </w:r>
        <w:r w:rsidR="00F81FA6" w:rsidRPr="00F81FA6">
          <w:rPr>
            <w:rFonts w:asciiTheme="minorHAnsi" w:hAnsiTheme="minorHAnsi" w:cstheme="minorHAnsi"/>
            <w:noProof/>
            <w:webHidden/>
            <w:sz w:val="22"/>
            <w:szCs w:val="22"/>
          </w:rPr>
          <w:fldChar w:fldCharType="end"/>
        </w:r>
      </w:hyperlink>
    </w:p>
    <w:p w14:paraId="60DFE2B4" w14:textId="2BBE91EA" w:rsidR="00F81FA6" w:rsidRPr="00F81FA6" w:rsidRDefault="008E4AC2" w:rsidP="00A705D8">
      <w:pPr>
        <w:pStyle w:val="TOC2"/>
        <w:rPr>
          <w:rFonts w:eastAsiaTheme="minorEastAsia"/>
          <w:noProof/>
          <w:lang w:val="en-GB" w:eastAsia="en-GB"/>
        </w:rPr>
      </w:pPr>
      <w:hyperlink w:anchor="_Toc80875389" w:history="1">
        <w:r w:rsidR="00F81FA6" w:rsidRPr="00F81FA6">
          <w:rPr>
            <w:rStyle w:val="Hyperlink"/>
            <w:rFonts w:asciiTheme="minorHAnsi" w:hAnsiTheme="minorHAnsi" w:cstheme="minorHAnsi"/>
            <w:noProof/>
            <w:sz w:val="22"/>
            <w:szCs w:val="22"/>
          </w:rPr>
          <w:t>4.3</w:t>
        </w:r>
        <w:r w:rsidR="0034524F">
          <w:rPr>
            <w:rFonts w:eastAsiaTheme="minorEastAsia"/>
            <w:noProof/>
            <w:lang w:val="en-GB" w:eastAsia="en-GB"/>
          </w:rPr>
          <w:t xml:space="preserve"> </w:t>
        </w:r>
        <w:r w:rsidR="00F81FA6" w:rsidRPr="00F81FA6">
          <w:rPr>
            <w:rStyle w:val="Hyperlink"/>
            <w:rFonts w:asciiTheme="minorHAnsi" w:hAnsiTheme="minorHAnsi" w:cstheme="minorHAnsi"/>
            <w:noProof/>
            <w:sz w:val="22"/>
            <w:szCs w:val="22"/>
          </w:rPr>
          <w:t>Bulk transfers</w:t>
        </w:r>
        <w:r w:rsidR="00F81FA6" w:rsidRPr="00F81FA6">
          <w:rPr>
            <w:noProof/>
            <w:webHidden/>
          </w:rPr>
          <w:tab/>
        </w:r>
        <w:r w:rsidR="00F81FA6" w:rsidRPr="00F81FA6">
          <w:rPr>
            <w:noProof/>
            <w:webHidden/>
          </w:rPr>
          <w:fldChar w:fldCharType="begin"/>
        </w:r>
        <w:r w:rsidR="00F81FA6" w:rsidRPr="00F81FA6">
          <w:rPr>
            <w:noProof/>
            <w:webHidden/>
          </w:rPr>
          <w:instrText xml:space="preserve"> PAGEREF _Toc80875389 \h </w:instrText>
        </w:r>
        <w:r w:rsidR="00F81FA6" w:rsidRPr="00F81FA6">
          <w:rPr>
            <w:noProof/>
            <w:webHidden/>
          </w:rPr>
        </w:r>
        <w:r w:rsidR="00F81FA6" w:rsidRPr="00F81FA6">
          <w:rPr>
            <w:noProof/>
            <w:webHidden/>
          </w:rPr>
          <w:fldChar w:fldCharType="separate"/>
        </w:r>
        <w:r w:rsidR="00F81FA6" w:rsidRPr="00F81FA6">
          <w:rPr>
            <w:noProof/>
            <w:webHidden/>
          </w:rPr>
          <w:t>13</w:t>
        </w:r>
        <w:r w:rsidR="00F81FA6" w:rsidRPr="00F81FA6">
          <w:rPr>
            <w:noProof/>
            <w:webHidden/>
          </w:rPr>
          <w:fldChar w:fldCharType="end"/>
        </w:r>
      </w:hyperlink>
    </w:p>
    <w:p w14:paraId="0808FB52" w14:textId="004C3EB3"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90" w:history="1">
        <w:r w:rsidR="00F81FA6" w:rsidRPr="00F81FA6">
          <w:rPr>
            <w:rStyle w:val="Hyperlink"/>
            <w:rFonts w:asciiTheme="minorHAnsi" w:hAnsiTheme="minorHAnsi" w:cstheme="minorHAnsi"/>
            <w:noProof/>
            <w:sz w:val="22"/>
            <w:szCs w:val="22"/>
          </w:rPr>
          <w:t>4.3.1</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Calculation of bulk transfer out of the Fund</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_Toc80875390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13</w:t>
        </w:r>
        <w:r w:rsidR="00F81FA6" w:rsidRPr="00F81FA6">
          <w:rPr>
            <w:rFonts w:asciiTheme="minorHAnsi" w:hAnsiTheme="minorHAnsi" w:cstheme="minorHAnsi"/>
            <w:noProof/>
            <w:webHidden/>
            <w:sz w:val="22"/>
            <w:szCs w:val="22"/>
          </w:rPr>
          <w:fldChar w:fldCharType="end"/>
        </w:r>
      </w:hyperlink>
    </w:p>
    <w:p w14:paraId="5B9E29CA" w14:textId="096BA09C"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91" w:history="1">
        <w:r w:rsidR="00F81FA6" w:rsidRPr="00F81FA6">
          <w:rPr>
            <w:rStyle w:val="Hyperlink"/>
            <w:rFonts w:asciiTheme="minorHAnsi" w:hAnsiTheme="minorHAnsi" w:cstheme="minorHAnsi"/>
            <w:noProof/>
            <w:sz w:val="22"/>
            <w:szCs w:val="22"/>
          </w:rPr>
          <w:t>4.3.2</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Adjustment to transfer payment between transfer date and payment date</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_Toc80875391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13</w:t>
        </w:r>
        <w:r w:rsidR="00F81FA6" w:rsidRPr="00F81FA6">
          <w:rPr>
            <w:rFonts w:asciiTheme="minorHAnsi" w:hAnsiTheme="minorHAnsi" w:cstheme="minorHAnsi"/>
            <w:noProof/>
            <w:webHidden/>
            <w:sz w:val="22"/>
            <w:szCs w:val="22"/>
          </w:rPr>
          <w:fldChar w:fldCharType="end"/>
        </w:r>
      </w:hyperlink>
    </w:p>
    <w:p w14:paraId="5DB622A4" w14:textId="4F7AF3F6"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92" w:history="1">
        <w:r w:rsidR="00F81FA6" w:rsidRPr="00F81FA6">
          <w:rPr>
            <w:rStyle w:val="Hyperlink"/>
            <w:rFonts w:asciiTheme="minorHAnsi" w:hAnsiTheme="minorHAnsi" w:cstheme="minorHAnsi"/>
            <w:noProof/>
            <w:sz w:val="22"/>
            <w:szCs w:val="22"/>
          </w:rPr>
          <w:t>4.3.3</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Format of bulk transfer</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_Toc80875392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14</w:t>
        </w:r>
        <w:r w:rsidR="00F81FA6" w:rsidRPr="00F81FA6">
          <w:rPr>
            <w:rFonts w:asciiTheme="minorHAnsi" w:hAnsiTheme="minorHAnsi" w:cstheme="minorHAnsi"/>
            <w:noProof/>
            <w:webHidden/>
            <w:sz w:val="22"/>
            <w:szCs w:val="22"/>
          </w:rPr>
          <w:fldChar w:fldCharType="end"/>
        </w:r>
      </w:hyperlink>
    </w:p>
    <w:p w14:paraId="2F5BDBE0" w14:textId="4B65B4E4"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93" w:history="1">
        <w:r w:rsidR="00F81FA6" w:rsidRPr="00F81FA6">
          <w:rPr>
            <w:rStyle w:val="Hyperlink"/>
            <w:rFonts w:asciiTheme="minorHAnsi" w:hAnsiTheme="minorHAnsi" w:cstheme="minorHAnsi"/>
            <w:noProof/>
            <w:sz w:val="22"/>
            <w:szCs w:val="22"/>
          </w:rPr>
          <w:t>4.3.4</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Bulk transfers in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_Toc80875393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14</w:t>
        </w:r>
        <w:r w:rsidR="00F81FA6" w:rsidRPr="00F81FA6">
          <w:rPr>
            <w:rFonts w:asciiTheme="minorHAnsi" w:hAnsiTheme="minorHAnsi" w:cstheme="minorHAnsi"/>
            <w:noProof/>
            <w:webHidden/>
            <w:sz w:val="22"/>
            <w:szCs w:val="22"/>
          </w:rPr>
          <w:fldChar w:fldCharType="end"/>
        </w:r>
      </w:hyperlink>
    </w:p>
    <w:p w14:paraId="720EE23C" w14:textId="5BDC15E7"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94" w:history="1">
        <w:r w:rsidR="00F81FA6" w:rsidRPr="00F81FA6">
          <w:rPr>
            <w:rStyle w:val="Hyperlink"/>
            <w:rFonts w:asciiTheme="minorHAnsi" w:hAnsiTheme="minorHAnsi" w:cstheme="minorHAnsi"/>
            <w:noProof/>
            <w:sz w:val="22"/>
            <w:szCs w:val="22"/>
          </w:rPr>
          <w:t>4.3.5</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Approval process for paying or receiving a bulk transfer</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_Toc80875394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14</w:t>
        </w:r>
        <w:r w:rsidR="00F81FA6" w:rsidRPr="00F81FA6">
          <w:rPr>
            <w:rFonts w:asciiTheme="minorHAnsi" w:hAnsiTheme="minorHAnsi" w:cstheme="minorHAnsi"/>
            <w:noProof/>
            <w:webHidden/>
            <w:sz w:val="22"/>
            <w:szCs w:val="22"/>
          </w:rPr>
          <w:fldChar w:fldCharType="end"/>
        </w:r>
      </w:hyperlink>
    </w:p>
    <w:p w14:paraId="400A0B09" w14:textId="0DC70181" w:rsidR="00F81FA6" w:rsidRPr="00F81FA6" w:rsidRDefault="008E4AC2">
      <w:pPr>
        <w:pStyle w:val="TOC3"/>
        <w:tabs>
          <w:tab w:val="left" w:pos="1320"/>
          <w:tab w:val="right" w:leader="dot" w:pos="9016"/>
        </w:tabs>
        <w:rPr>
          <w:rFonts w:asciiTheme="minorHAnsi" w:eastAsiaTheme="minorEastAsia" w:hAnsiTheme="minorHAnsi" w:cstheme="minorHAnsi"/>
          <w:noProof/>
          <w:sz w:val="22"/>
          <w:szCs w:val="22"/>
          <w:lang w:val="en-GB" w:eastAsia="en-GB"/>
        </w:rPr>
      </w:pPr>
      <w:hyperlink w:anchor="_Toc80875395" w:history="1">
        <w:r w:rsidR="00F81FA6" w:rsidRPr="00F81FA6">
          <w:rPr>
            <w:rStyle w:val="Hyperlink"/>
            <w:rFonts w:asciiTheme="minorHAnsi" w:hAnsiTheme="minorHAnsi" w:cstheme="minorHAnsi"/>
            <w:noProof/>
            <w:sz w:val="22"/>
            <w:szCs w:val="22"/>
          </w:rPr>
          <w:t>4.3.6</w:t>
        </w:r>
        <w:r w:rsidR="00F81FA6" w:rsidRPr="00F81FA6">
          <w:rPr>
            <w:rFonts w:asciiTheme="minorHAnsi" w:eastAsiaTheme="minorEastAsia" w:hAnsiTheme="minorHAnsi" w:cstheme="minorHAnsi"/>
            <w:noProof/>
            <w:sz w:val="22"/>
            <w:szCs w:val="22"/>
            <w:lang w:val="en-GB" w:eastAsia="en-GB"/>
          </w:rPr>
          <w:tab/>
        </w:r>
        <w:r w:rsidR="00F81FA6" w:rsidRPr="00F81FA6">
          <w:rPr>
            <w:rStyle w:val="Hyperlink"/>
            <w:rFonts w:asciiTheme="minorHAnsi" w:hAnsiTheme="minorHAnsi" w:cstheme="minorHAnsi"/>
            <w:noProof/>
            <w:sz w:val="22"/>
            <w:szCs w:val="22"/>
          </w:rPr>
          <w:t>Costs</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_Toc80875395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14</w:t>
        </w:r>
        <w:r w:rsidR="00F81FA6" w:rsidRPr="00F81FA6">
          <w:rPr>
            <w:rFonts w:asciiTheme="minorHAnsi" w:hAnsiTheme="minorHAnsi" w:cstheme="minorHAnsi"/>
            <w:noProof/>
            <w:webHidden/>
            <w:sz w:val="22"/>
            <w:szCs w:val="22"/>
          </w:rPr>
          <w:fldChar w:fldCharType="end"/>
        </w:r>
      </w:hyperlink>
    </w:p>
    <w:p w14:paraId="5C564032" w14:textId="3369AF01" w:rsidR="00F81FA6" w:rsidRPr="00F81FA6" w:rsidRDefault="008E4AC2" w:rsidP="002662E6">
      <w:pPr>
        <w:pStyle w:val="TOC1"/>
        <w:rPr>
          <w:rFonts w:eastAsiaTheme="minorEastAsia"/>
        </w:rPr>
      </w:pPr>
      <w:hyperlink w:anchor="_Toc80875396" w:history="1">
        <w:r w:rsidR="00F81FA6" w:rsidRPr="00F81FA6">
          <w:rPr>
            <w:rStyle w:val="Hyperlink"/>
          </w:rPr>
          <w:t>Appendix 1</w:t>
        </w:r>
        <w:r w:rsidR="002662E6">
          <w:rPr>
            <w:rStyle w:val="Hyperlink"/>
          </w:rPr>
          <w:t>: Admission bodies – overiding principles</w:t>
        </w:r>
        <w:r w:rsidR="00F81FA6" w:rsidRPr="00F81FA6">
          <w:rPr>
            <w:webHidden/>
          </w:rPr>
          <w:tab/>
        </w:r>
        <w:r w:rsidR="00F81FA6" w:rsidRPr="00F81FA6">
          <w:rPr>
            <w:webHidden/>
          </w:rPr>
          <w:fldChar w:fldCharType="begin"/>
        </w:r>
        <w:r w:rsidR="00F81FA6" w:rsidRPr="00F81FA6">
          <w:rPr>
            <w:webHidden/>
          </w:rPr>
          <w:instrText xml:space="preserve"> PAGEREF _Toc80875396 \h </w:instrText>
        </w:r>
        <w:r w:rsidR="00F81FA6" w:rsidRPr="00F81FA6">
          <w:rPr>
            <w:webHidden/>
          </w:rPr>
        </w:r>
        <w:r w:rsidR="00F81FA6" w:rsidRPr="00F81FA6">
          <w:rPr>
            <w:webHidden/>
          </w:rPr>
          <w:fldChar w:fldCharType="separate"/>
        </w:r>
        <w:r w:rsidR="00F81FA6" w:rsidRPr="00F81FA6">
          <w:rPr>
            <w:webHidden/>
          </w:rPr>
          <w:t>16</w:t>
        </w:r>
        <w:r w:rsidR="00F81FA6" w:rsidRPr="00F81FA6">
          <w:rPr>
            <w:webHidden/>
          </w:rPr>
          <w:fldChar w:fldCharType="end"/>
        </w:r>
      </w:hyperlink>
    </w:p>
    <w:p w14:paraId="631A544D" w14:textId="6CCFD29E" w:rsidR="00F81FA6" w:rsidRPr="00F81FA6" w:rsidRDefault="008E4AC2" w:rsidP="002662E6">
      <w:pPr>
        <w:pStyle w:val="TOC1"/>
        <w:rPr>
          <w:rFonts w:eastAsiaTheme="minorEastAsia"/>
        </w:rPr>
      </w:pPr>
      <w:hyperlink w:anchor="_Toc80875398" w:history="1">
        <w:r w:rsidR="00F81FA6" w:rsidRPr="00F81FA6">
          <w:rPr>
            <w:rStyle w:val="Hyperlink"/>
          </w:rPr>
          <w:t>Appendix 2</w:t>
        </w:r>
        <w:r w:rsidR="002662E6">
          <w:rPr>
            <w:rStyle w:val="Hyperlink"/>
          </w:rPr>
          <w:t>: Admission Bodies and Scheduled Bodies – The Regulatory and guidance framework</w:t>
        </w:r>
        <w:r w:rsidR="00F81FA6" w:rsidRPr="00F81FA6">
          <w:rPr>
            <w:webHidden/>
          </w:rPr>
          <w:tab/>
        </w:r>
        <w:r w:rsidR="00F81FA6" w:rsidRPr="00F81FA6">
          <w:rPr>
            <w:webHidden/>
          </w:rPr>
          <w:fldChar w:fldCharType="begin"/>
        </w:r>
        <w:r w:rsidR="00F81FA6" w:rsidRPr="00F81FA6">
          <w:rPr>
            <w:webHidden/>
          </w:rPr>
          <w:instrText xml:space="preserve"> PAGEREF _Toc80875398 \h </w:instrText>
        </w:r>
        <w:r w:rsidR="00F81FA6" w:rsidRPr="00F81FA6">
          <w:rPr>
            <w:webHidden/>
          </w:rPr>
        </w:r>
        <w:r w:rsidR="00F81FA6" w:rsidRPr="00F81FA6">
          <w:rPr>
            <w:webHidden/>
          </w:rPr>
          <w:fldChar w:fldCharType="separate"/>
        </w:r>
        <w:r w:rsidR="00F81FA6" w:rsidRPr="00F81FA6">
          <w:rPr>
            <w:webHidden/>
          </w:rPr>
          <w:t>17</w:t>
        </w:r>
        <w:r w:rsidR="00F81FA6" w:rsidRPr="00F81FA6">
          <w:rPr>
            <w:webHidden/>
          </w:rPr>
          <w:fldChar w:fldCharType="end"/>
        </w:r>
      </w:hyperlink>
    </w:p>
    <w:p w14:paraId="0420FC59" w14:textId="2B1DDEE8" w:rsidR="00F81FA6" w:rsidRPr="00F81FA6" w:rsidRDefault="008E4AC2" w:rsidP="002662E6">
      <w:pPr>
        <w:pStyle w:val="TOC1"/>
        <w:rPr>
          <w:rFonts w:eastAsiaTheme="minorEastAsia"/>
        </w:rPr>
      </w:pPr>
      <w:hyperlink w:anchor="_Toc80875399" w:history="1">
        <w:r w:rsidR="00F81FA6" w:rsidRPr="00F81FA6">
          <w:rPr>
            <w:rStyle w:val="Hyperlink"/>
          </w:rPr>
          <w:t>Appendix 3</w:t>
        </w:r>
        <w:r w:rsidR="002662E6">
          <w:rPr>
            <w:rStyle w:val="Hyperlink"/>
          </w:rPr>
          <w:t>: Bulk Transfers – Overriding principles</w:t>
        </w:r>
        <w:r w:rsidR="00F81FA6" w:rsidRPr="00F81FA6">
          <w:rPr>
            <w:webHidden/>
          </w:rPr>
          <w:tab/>
        </w:r>
        <w:r w:rsidR="00F81FA6" w:rsidRPr="00F81FA6">
          <w:rPr>
            <w:webHidden/>
          </w:rPr>
          <w:fldChar w:fldCharType="begin"/>
        </w:r>
        <w:r w:rsidR="00F81FA6" w:rsidRPr="00F81FA6">
          <w:rPr>
            <w:webHidden/>
          </w:rPr>
          <w:instrText xml:space="preserve"> PAGEREF _Toc80875399 \h </w:instrText>
        </w:r>
        <w:r w:rsidR="00F81FA6" w:rsidRPr="00F81FA6">
          <w:rPr>
            <w:webHidden/>
          </w:rPr>
        </w:r>
        <w:r w:rsidR="00F81FA6" w:rsidRPr="00F81FA6">
          <w:rPr>
            <w:webHidden/>
          </w:rPr>
          <w:fldChar w:fldCharType="separate"/>
        </w:r>
        <w:r w:rsidR="00F81FA6" w:rsidRPr="00F81FA6">
          <w:rPr>
            <w:webHidden/>
          </w:rPr>
          <w:t>18</w:t>
        </w:r>
        <w:r w:rsidR="00F81FA6" w:rsidRPr="00F81FA6">
          <w:rPr>
            <w:webHidden/>
          </w:rPr>
          <w:fldChar w:fldCharType="end"/>
        </w:r>
      </w:hyperlink>
    </w:p>
    <w:p w14:paraId="007D84CE" w14:textId="38415F60" w:rsidR="00F81FA6" w:rsidRPr="00F81FA6" w:rsidRDefault="008E4AC2" w:rsidP="002662E6">
      <w:pPr>
        <w:pStyle w:val="TOC1"/>
        <w:rPr>
          <w:rFonts w:eastAsiaTheme="minorEastAsia"/>
        </w:rPr>
      </w:pPr>
      <w:hyperlink w:anchor="_Toc80875400" w:history="1">
        <w:r w:rsidR="00F81FA6" w:rsidRPr="00F81FA6">
          <w:rPr>
            <w:rStyle w:val="Hyperlink"/>
          </w:rPr>
          <w:t>Appendix 4</w:t>
        </w:r>
        <w:r w:rsidR="002662E6">
          <w:rPr>
            <w:rStyle w:val="Hyperlink"/>
          </w:rPr>
          <w:t>: Bulk transfer circumstances</w:t>
        </w:r>
        <w:r w:rsidR="00F81FA6" w:rsidRPr="00F81FA6">
          <w:rPr>
            <w:webHidden/>
          </w:rPr>
          <w:tab/>
        </w:r>
        <w:r w:rsidR="00F81FA6" w:rsidRPr="00F81FA6">
          <w:rPr>
            <w:webHidden/>
          </w:rPr>
          <w:fldChar w:fldCharType="begin"/>
        </w:r>
        <w:r w:rsidR="00F81FA6" w:rsidRPr="00F81FA6">
          <w:rPr>
            <w:webHidden/>
          </w:rPr>
          <w:instrText xml:space="preserve"> PAGEREF _Toc80875400 \h </w:instrText>
        </w:r>
        <w:r w:rsidR="00F81FA6" w:rsidRPr="00F81FA6">
          <w:rPr>
            <w:webHidden/>
          </w:rPr>
        </w:r>
        <w:r w:rsidR="00F81FA6" w:rsidRPr="00F81FA6">
          <w:rPr>
            <w:webHidden/>
          </w:rPr>
          <w:fldChar w:fldCharType="separate"/>
        </w:r>
        <w:r w:rsidR="00F81FA6" w:rsidRPr="00F81FA6">
          <w:rPr>
            <w:webHidden/>
          </w:rPr>
          <w:t>19</w:t>
        </w:r>
        <w:r w:rsidR="00F81FA6" w:rsidRPr="00F81FA6">
          <w:rPr>
            <w:webHidden/>
          </w:rPr>
          <w:fldChar w:fldCharType="end"/>
        </w:r>
      </w:hyperlink>
    </w:p>
    <w:p w14:paraId="780A1A38" w14:textId="2D6168B5" w:rsidR="00F81FA6" w:rsidRPr="00F81FA6" w:rsidRDefault="002662E6" w:rsidP="00A705D8">
      <w:pPr>
        <w:pStyle w:val="TOC2"/>
        <w:rPr>
          <w:rFonts w:eastAsiaTheme="minorEastAsia"/>
          <w:noProof/>
          <w:lang w:val="en-GB" w:eastAsia="en-GB"/>
        </w:rPr>
      </w:pPr>
      <w:r>
        <w:t xml:space="preserve">    </w:t>
      </w:r>
      <w:hyperlink w:anchor="_Toc80875402" w:history="1">
        <w:r w:rsidR="00F81FA6" w:rsidRPr="00F81FA6">
          <w:rPr>
            <w:rStyle w:val="Hyperlink"/>
            <w:rFonts w:asciiTheme="minorHAnsi" w:hAnsiTheme="minorHAnsi" w:cstheme="minorHAnsi"/>
            <w:noProof/>
            <w:sz w:val="22"/>
            <w:szCs w:val="22"/>
            <w:lang w:eastAsia="en-GB"/>
          </w:rPr>
          <w:t>Bulk transfers from the Fund to non-LGPS Funds</w:t>
        </w:r>
        <w:r w:rsidR="00F81FA6" w:rsidRPr="00F81FA6">
          <w:rPr>
            <w:noProof/>
            <w:webHidden/>
          </w:rPr>
          <w:tab/>
        </w:r>
        <w:r w:rsidR="00F81FA6" w:rsidRPr="00F81FA6">
          <w:rPr>
            <w:noProof/>
            <w:webHidden/>
          </w:rPr>
          <w:fldChar w:fldCharType="begin"/>
        </w:r>
        <w:r w:rsidR="00F81FA6" w:rsidRPr="00F81FA6">
          <w:rPr>
            <w:noProof/>
            <w:webHidden/>
          </w:rPr>
          <w:instrText xml:space="preserve"> PAGEREF _Toc80875402 \h </w:instrText>
        </w:r>
        <w:r w:rsidR="00F81FA6" w:rsidRPr="00F81FA6">
          <w:rPr>
            <w:noProof/>
            <w:webHidden/>
          </w:rPr>
        </w:r>
        <w:r w:rsidR="00F81FA6" w:rsidRPr="00F81FA6">
          <w:rPr>
            <w:noProof/>
            <w:webHidden/>
          </w:rPr>
          <w:fldChar w:fldCharType="separate"/>
        </w:r>
        <w:r w:rsidR="00F81FA6" w:rsidRPr="00F81FA6">
          <w:rPr>
            <w:noProof/>
            <w:webHidden/>
          </w:rPr>
          <w:t>19</w:t>
        </w:r>
        <w:r w:rsidR="00F81FA6" w:rsidRPr="00F81FA6">
          <w:rPr>
            <w:noProof/>
            <w:webHidden/>
          </w:rPr>
          <w:fldChar w:fldCharType="end"/>
        </w:r>
      </w:hyperlink>
    </w:p>
    <w:p w14:paraId="369CCE14" w14:textId="6047700B" w:rsidR="00F81FA6" w:rsidRPr="00F81FA6" w:rsidRDefault="008E4AC2">
      <w:pPr>
        <w:pStyle w:val="TOC3"/>
        <w:tabs>
          <w:tab w:val="right" w:leader="dot" w:pos="9016"/>
        </w:tabs>
        <w:rPr>
          <w:rFonts w:asciiTheme="minorHAnsi" w:eastAsiaTheme="minorEastAsia" w:hAnsiTheme="minorHAnsi" w:cstheme="minorHAnsi"/>
          <w:noProof/>
          <w:sz w:val="22"/>
          <w:szCs w:val="22"/>
          <w:lang w:val="en-GB" w:eastAsia="en-GB"/>
        </w:rPr>
      </w:pPr>
      <w:hyperlink w:anchor="_Toc80875403" w:history="1">
        <w:r w:rsidR="00F81FA6" w:rsidRPr="00F81FA6">
          <w:rPr>
            <w:rStyle w:val="Hyperlink"/>
            <w:rFonts w:asciiTheme="minorHAnsi" w:hAnsiTheme="minorHAnsi" w:cstheme="minorHAnsi"/>
            <w:noProof/>
            <w:sz w:val="22"/>
            <w:szCs w:val="22"/>
            <w:lang w:eastAsia="en-GB"/>
          </w:rPr>
          <w:t>Bulk transfers between LGPS Funds within England and Wales: changes in the Fund</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_Toc80875403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19</w:t>
        </w:r>
        <w:r w:rsidR="00F81FA6" w:rsidRPr="00F81FA6">
          <w:rPr>
            <w:rFonts w:asciiTheme="minorHAnsi" w:hAnsiTheme="minorHAnsi" w:cstheme="minorHAnsi"/>
            <w:noProof/>
            <w:webHidden/>
            <w:sz w:val="22"/>
            <w:szCs w:val="22"/>
          </w:rPr>
          <w:fldChar w:fldCharType="end"/>
        </w:r>
      </w:hyperlink>
    </w:p>
    <w:p w14:paraId="389AB94C" w14:textId="27DF87A1" w:rsidR="00F81FA6" w:rsidRPr="00F81FA6" w:rsidRDefault="008E4AC2">
      <w:pPr>
        <w:pStyle w:val="TOC3"/>
        <w:tabs>
          <w:tab w:val="right" w:leader="dot" w:pos="9016"/>
        </w:tabs>
        <w:rPr>
          <w:rFonts w:asciiTheme="minorHAnsi" w:eastAsiaTheme="minorEastAsia" w:hAnsiTheme="minorHAnsi" w:cstheme="minorHAnsi"/>
          <w:noProof/>
          <w:sz w:val="22"/>
          <w:szCs w:val="22"/>
          <w:lang w:val="en-GB" w:eastAsia="en-GB"/>
        </w:rPr>
      </w:pPr>
      <w:hyperlink w:anchor="_Toc80875404" w:history="1">
        <w:r w:rsidR="00F81FA6" w:rsidRPr="00F81FA6">
          <w:rPr>
            <w:rStyle w:val="Hyperlink"/>
            <w:rFonts w:asciiTheme="minorHAnsi" w:hAnsiTheme="minorHAnsi" w:cstheme="minorHAnsi"/>
            <w:noProof/>
            <w:sz w:val="22"/>
            <w:szCs w:val="22"/>
            <w:lang w:eastAsia="en-GB"/>
          </w:rPr>
          <w:t>Bulk transfers between employers in Fund</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_Toc80875404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20</w:t>
        </w:r>
        <w:r w:rsidR="00F81FA6" w:rsidRPr="00F81FA6">
          <w:rPr>
            <w:rFonts w:asciiTheme="minorHAnsi" w:hAnsiTheme="minorHAnsi" w:cstheme="minorHAnsi"/>
            <w:noProof/>
            <w:webHidden/>
            <w:sz w:val="22"/>
            <w:szCs w:val="22"/>
          </w:rPr>
          <w:fldChar w:fldCharType="end"/>
        </w:r>
      </w:hyperlink>
    </w:p>
    <w:p w14:paraId="22C35EE5" w14:textId="5A631A5B" w:rsidR="00F81FA6" w:rsidRPr="00F81FA6" w:rsidRDefault="008E4AC2">
      <w:pPr>
        <w:pStyle w:val="TOC3"/>
        <w:tabs>
          <w:tab w:val="right" w:leader="dot" w:pos="9016"/>
        </w:tabs>
        <w:rPr>
          <w:rFonts w:asciiTheme="minorHAnsi" w:eastAsiaTheme="minorEastAsia" w:hAnsiTheme="minorHAnsi" w:cstheme="minorHAnsi"/>
          <w:noProof/>
          <w:sz w:val="22"/>
          <w:szCs w:val="22"/>
          <w:lang w:val="en-GB" w:eastAsia="en-GB"/>
        </w:rPr>
      </w:pPr>
      <w:hyperlink w:anchor="_Toc80875405" w:history="1">
        <w:r w:rsidR="00F81FA6" w:rsidRPr="00F81FA6">
          <w:rPr>
            <w:rStyle w:val="Hyperlink"/>
            <w:rFonts w:asciiTheme="minorHAnsi" w:hAnsiTheme="minorHAnsi" w:cstheme="minorHAnsi"/>
            <w:noProof/>
            <w:sz w:val="22"/>
            <w:szCs w:val="22"/>
            <w:lang w:eastAsia="en-GB"/>
          </w:rPr>
          <w:t>Transfers in</w:t>
        </w:r>
        <w:r w:rsidR="00F81FA6" w:rsidRPr="00F81FA6">
          <w:rPr>
            <w:rFonts w:asciiTheme="minorHAnsi" w:hAnsiTheme="minorHAnsi" w:cstheme="minorHAnsi"/>
            <w:noProof/>
            <w:webHidden/>
            <w:sz w:val="22"/>
            <w:szCs w:val="22"/>
          </w:rPr>
          <w:tab/>
        </w:r>
        <w:r w:rsidR="00F81FA6" w:rsidRPr="00F81FA6">
          <w:rPr>
            <w:rFonts w:asciiTheme="minorHAnsi" w:hAnsiTheme="minorHAnsi" w:cstheme="minorHAnsi"/>
            <w:noProof/>
            <w:webHidden/>
            <w:sz w:val="22"/>
            <w:szCs w:val="22"/>
          </w:rPr>
          <w:fldChar w:fldCharType="begin"/>
        </w:r>
        <w:r w:rsidR="00F81FA6" w:rsidRPr="00F81FA6">
          <w:rPr>
            <w:rFonts w:asciiTheme="minorHAnsi" w:hAnsiTheme="minorHAnsi" w:cstheme="minorHAnsi"/>
            <w:noProof/>
            <w:webHidden/>
            <w:sz w:val="22"/>
            <w:szCs w:val="22"/>
          </w:rPr>
          <w:instrText xml:space="preserve"> PAGEREF _Toc80875405 \h </w:instrText>
        </w:r>
        <w:r w:rsidR="00F81FA6" w:rsidRPr="00F81FA6">
          <w:rPr>
            <w:rFonts w:asciiTheme="minorHAnsi" w:hAnsiTheme="minorHAnsi" w:cstheme="minorHAnsi"/>
            <w:noProof/>
            <w:webHidden/>
            <w:sz w:val="22"/>
            <w:szCs w:val="22"/>
          </w:rPr>
        </w:r>
        <w:r w:rsidR="00F81FA6" w:rsidRPr="00F81FA6">
          <w:rPr>
            <w:rFonts w:asciiTheme="minorHAnsi" w:hAnsiTheme="minorHAnsi" w:cstheme="minorHAnsi"/>
            <w:noProof/>
            <w:webHidden/>
            <w:sz w:val="22"/>
            <w:szCs w:val="22"/>
          </w:rPr>
          <w:fldChar w:fldCharType="separate"/>
        </w:r>
        <w:r w:rsidR="00F81FA6" w:rsidRPr="00F81FA6">
          <w:rPr>
            <w:rFonts w:asciiTheme="minorHAnsi" w:hAnsiTheme="minorHAnsi" w:cstheme="minorHAnsi"/>
            <w:noProof/>
            <w:webHidden/>
            <w:sz w:val="22"/>
            <w:szCs w:val="22"/>
          </w:rPr>
          <w:t>20</w:t>
        </w:r>
        <w:r w:rsidR="00F81FA6" w:rsidRPr="00F81FA6">
          <w:rPr>
            <w:rFonts w:asciiTheme="minorHAnsi" w:hAnsiTheme="minorHAnsi" w:cstheme="minorHAnsi"/>
            <w:noProof/>
            <w:webHidden/>
            <w:sz w:val="22"/>
            <w:szCs w:val="22"/>
          </w:rPr>
          <w:fldChar w:fldCharType="end"/>
        </w:r>
      </w:hyperlink>
    </w:p>
    <w:p w14:paraId="6D6981C7" w14:textId="7FEDDD6E" w:rsidR="009C601A" w:rsidRPr="00F81FA6" w:rsidRDefault="00565013">
      <w:pPr>
        <w:widowControl/>
        <w:rPr>
          <w:rFonts w:asciiTheme="minorHAnsi" w:hAnsiTheme="minorHAnsi" w:cstheme="minorHAnsi"/>
          <w:sz w:val="22"/>
          <w:szCs w:val="22"/>
          <w:lang w:val="en-GB" w:eastAsia="en-GB"/>
        </w:rPr>
      </w:pPr>
      <w:r w:rsidRPr="00F81FA6">
        <w:rPr>
          <w:rFonts w:asciiTheme="minorHAnsi" w:hAnsiTheme="minorHAnsi" w:cstheme="minorHAnsi"/>
          <w:sz w:val="22"/>
          <w:szCs w:val="22"/>
          <w:lang w:val="en-GB" w:eastAsia="en-GB"/>
        </w:rPr>
        <w:fldChar w:fldCharType="end"/>
      </w:r>
      <w:r w:rsidR="009C601A" w:rsidRPr="00F81FA6">
        <w:rPr>
          <w:rFonts w:asciiTheme="minorHAnsi" w:hAnsiTheme="minorHAnsi" w:cstheme="minorHAnsi"/>
          <w:sz w:val="22"/>
          <w:szCs w:val="22"/>
          <w:lang w:val="en-GB" w:eastAsia="en-GB"/>
        </w:rPr>
        <w:br w:type="page"/>
      </w:r>
    </w:p>
    <w:p w14:paraId="27BBF56B" w14:textId="77777777" w:rsidR="00335891" w:rsidRDefault="00335891" w:rsidP="009C601A">
      <w:pPr>
        <w:widowControl/>
        <w:rPr>
          <w:lang w:val="en-GB" w:eastAsia="en-GB"/>
        </w:rPr>
        <w:sectPr w:rsidR="00335891" w:rsidSect="00F8084A">
          <w:headerReference w:type="default" r:id="rId11"/>
          <w:headerReference w:type="first" r:id="rId12"/>
          <w:footerReference w:type="first" r:id="rId13"/>
          <w:pgSz w:w="11906" w:h="16838" w:code="9"/>
          <w:pgMar w:top="1440" w:right="1440" w:bottom="1440" w:left="1440" w:header="567" w:footer="284" w:gutter="0"/>
          <w:cols w:space="720"/>
          <w:titlePg/>
          <w:docGrid w:linePitch="326"/>
        </w:sectPr>
      </w:pPr>
    </w:p>
    <w:p w14:paraId="70C2CCEE" w14:textId="77777777" w:rsidR="006F5863" w:rsidRPr="0023289F" w:rsidRDefault="006F5863" w:rsidP="00AF7EFD">
      <w:pPr>
        <w:pStyle w:val="Heading1Num"/>
        <w:tabs>
          <w:tab w:val="clear" w:pos="1277"/>
          <w:tab w:val="num" w:pos="1276"/>
        </w:tabs>
        <w:ind w:left="1276" w:hanging="1276"/>
        <w:rPr>
          <w:b w:val="0"/>
          <w:szCs w:val="24"/>
          <w:lang w:eastAsia="en-GB"/>
        </w:rPr>
      </w:pPr>
      <w:bookmarkStart w:id="0" w:name="_Toc80875358"/>
      <w:r w:rsidRPr="0023289F">
        <w:rPr>
          <w:szCs w:val="24"/>
          <w:lang w:eastAsia="en-GB"/>
        </w:rPr>
        <w:t>Introduction</w:t>
      </w:r>
      <w:bookmarkEnd w:id="0"/>
    </w:p>
    <w:p w14:paraId="7C3CB61A" w14:textId="50E948EA" w:rsidR="00984D61" w:rsidRPr="00565013" w:rsidRDefault="0055533C"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This is the policy of the </w:t>
      </w:r>
      <w:r w:rsidR="00F81FA6">
        <w:rPr>
          <w:rFonts w:asciiTheme="minorHAnsi" w:hAnsiTheme="minorHAnsi" w:cstheme="minorHAnsi"/>
          <w:sz w:val="22"/>
          <w:szCs w:val="22"/>
        </w:rPr>
        <w:t>Cambridge</w:t>
      </w:r>
      <w:r w:rsidRPr="00565013">
        <w:rPr>
          <w:rFonts w:asciiTheme="minorHAnsi" w:hAnsiTheme="minorHAnsi" w:cstheme="minorHAnsi"/>
          <w:sz w:val="22"/>
          <w:szCs w:val="22"/>
        </w:rPr>
        <w:t>shire Pension Fund (“</w:t>
      </w:r>
      <w:r w:rsidR="00CC700A" w:rsidRPr="00565013">
        <w:rPr>
          <w:rFonts w:asciiTheme="minorHAnsi" w:hAnsiTheme="minorHAnsi" w:cstheme="minorHAnsi"/>
          <w:sz w:val="22"/>
          <w:szCs w:val="22"/>
        </w:rPr>
        <w:t>The Fund</w:t>
      </w:r>
      <w:r w:rsidRPr="00565013">
        <w:rPr>
          <w:rFonts w:asciiTheme="minorHAnsi" w:hAnsiTheme="minorHAnsi" w:cstheme="minorHAnsi"/>
          <w:sz w:val="22"/>
          <w:szCs w:val="22"/>
        </w:rPr>
        <w:t>”) regarding the treatment of admission bodie</w:t>
      </w:r>
      <w:r w:rsidR="00CC700A" w:rsidRPr="00565013">
        <w:rPr>
          <w:rFonts w:asciiTheme="minorHAnsi" w:hAnsiTheme="minorHAnsi" w:cstheme="minorHAnsi"/>
          <w:sz w:val="22"/>
          <w:szCs w:val="22"/>
        </w:rPr>
        <w:t xml:space="preserve">s and scheme employers in the </w:t>
      </w:r>
      <w:r w:rsidRPr="00565013">
        <w:rPr>
          <w:rFonts w:asciiTheme="minorHAnsi" w:hAnsiTheme="minorHAnsi" w:cstheme="minorHAnsi"/>
          <w:sz w:val="22"/>
          <w:szCs w:val="22"/>
        </w:rPr>
        <w:t>F</w:t>
      </w:r>
      <w:r w:rsidR="00CC700A" w:rsidRPr="00565013">
        <w:rPr>
          <w:rFonts w:asciiTheme="minorHAnsi" w:hAnsiTheme="minorHAnsi" w:cstheme="minorHAnsi"/>
          <w:sz w:val="22"/>
          <w:szCs w:val="22"/>
        </w:rPr>
        <w:t>und</w:t>
      </w:r>
      <w:r w:rsidRPr="00565013">
        <w:rPr>
          <w:rFonts w:asciiTheme="minorHAnsi" w:hAnsiTheme="minorHAnsi" w:cstheme="minorHAnsi"/>
          <w:sz w:val="22"/>
          <w:szCs w:val="22"/>
        </w:rPr>
        <w:t xml:space="preserve"> </w:t>
      </w:r>
      <w:r w:rsidR="00AE68B9" w:rsidRPr="00565013">
        <w:rPr>
          <w:rFonts w:asciiTheme="minorHAnsi" w:hAnsiTheme="minorHAnsi" w:cstheme="minorHAnsi"/>
          <w:sz w:val="22"/>
          <w:szCs w:val="22"/>
        </w:rPr>
        <w:t xml:space="preserve">(in particular their commencement and cessation) </w:t>
      </w:r>
      <w:r w:rsidRPr="00565013">
        <w:rPr>
          <w:rFonts w:asciiTheme="minorHAnsi" w:hAnsiTheme="minorHAnsi" w:cstheme="minorHAnsi"/>
          <w:sz w:val="22"/>
          <w:szCs w:val="22"/>
        </w:rPr>
        <w:t>and</w:t>
      </w:r>
      <w:r w:rsidR="00611B8F" w:rsidRPr="00565013">
        <w:rPr>
          <w:rFonts w:asciiTheme="minorHAnsi" w:hAnsiTheme="minorHAnsi" w:cstheme="minorHAnsi"/>
          <w:sz w:val="22"/>
          <w:szCs w:val="22"/>
        </w:rPr>
        <w:t xml:space="preserve"> the</w:t>
      </w:r>
      <w:r w:rsidRPr="00565013">
        <w:rPr>
          <w:rFonts w:asciiTheme="minorHAnsi" w:hAnsiTheme="minorHAnsi" w:cstheme="minorHAnsi"/>
          <w:sz w:val="22"/>
          <w:szCs w:val="22"/>
        </w:rPr>
        <w:t xml:space="preserve"> bulk</w:t>
      </w:r>
      <w:r w:rsidR="00611B8F" w:rsidRPr="00565013">
        <w:rPr>
          <w:rFonts w:asciiTheme="minorHAnsi" w:hAnsiTheme="minorHAnsi" w:cstheme="minorHAnsi"/>
          <w:sz w:val="22"/>
          <w:szCs w:val="22"/>
        </w:rPr>
        <w:t xml:space="preserve"> transfer</w:t>
      </w:r>
      <w:r w:rsidRPr="00565013">
        <w:rPr>
          <w:rFonts w:asciiTheme="minorHAnsi" w:hAnsiTheme="minorHAnsi" w:cstheme="minorHAnsi"/>
          <w:sz w:val="22"/>
          <w:szCs w:val="22"/>
        </w:rPr>
        <w:t xml:space="preserve"> of p</w:t>
      </w:r>
      <w:r w:rsidR="00CC700A" w:rsidRPr="00565013">
        <w:rPr>
          <w:rFonts w:asciiTheme="minorHAnsi" w:hAnsiTheme="minorHAnsi" w:cstheme="minorHAnsi"/>
          <w:sz w:val="22"/>
          <w:szCs w:val="22"/>
        </w:rPr>
        <w:t xml:space="preserve">ension rights to and from the </w:t>
      </w:r>
      <w:r w:rsidRPr="00565013">
        <w:rPr>
          <w:rFonts w:asciiTheme="minorHAnsi" w:hAnsiTheme="minorHAnsi" w:cstheme="minorHAnsi"/>
          <w:sz w:val="22"/>
          <w:szCs w:val="22"/>
        </w:rPr>
        <w:t>F</w:t>
      </w:r>
      <w:r w:rsidR="00CC700A" w:rsidRPr="00565013">
        <w:rPr>
          <w:rFonts w:asciiTheme="minorHAnsi" w:hAnsiTheme="minorHAnsi" w:cstheme="minorHAnsi"/>
          <w:sz w:val="22"/>
          <w:szCs w:val="22"/>
        </w:rPr>
        <w:t>und</w:t>
      </w:r>
      <w:r w:rsidRPr="00565013">
        <w:rPr>
          <w:rFonts w:asciiTheme="minorHAnsi" w:hAnsiTheme="minorHAnsi" w:cstheme="minorHAnsi"/>
          <w:sz w:val="22"/>
          <w:szCs w:val="22"/>
        </w:rPr>
        <w:t>.</w:t>
      </w:r>
      <w:r w:rsidR="006F5863" w:rsidRPr="00565013">
        <w:rPr>
          <w:rFonts w:asciiTheme="minorHAnsi" w:hAnsiTheme="minorHAnsi" w:cstheme="minorHAnsi"/>
          <w:sz w:val="22"/>
          <w:szCs w:val="22"/>
        </w:rPr>
        <w:t xml:space="preserve">  This policy should be rea</w:t>
      </w:r>
      <w:r w:rsidR="00CC700A" w:rsidRPr="00565013">
        <w:rPr>
          <w:rFonts w:asciiTheme="minorHAnsi" w:hAnsiTheme="minorHAnsi" w:cstheme="minorHAnsi"/>
          <w:sz w:val="22"/>
          <w:szCs w:val="22"/>
        </w:rPr>
        <w:t xml:space="preserve">d in conjunction with the </w:t>
      </w:r>
      <w:r w:rsidR="006F5863" w:rsidRPr="00565013">
        <w:rPr>
          <w:rFonts w:asciiTheme="minorHAnsi" w:hAnsiTheme="minorHAnsi" w:cstheme="minorHAnsi"/>
          <w:sz w:val="22"/>
          <w:szCs w:val="22"/>
        </w:rPr>
        <w:t>Funding Strategy Statement and relevant legislation, such as the Local Government Pension Scheme Regulations 20</w:t>
      </w:r>
      <w:r w:rsidR="00060331" w:rsidRPr="00565013">
        <w:rPr>
          <w:rFonts w:asciiTheme="minorHAnsi" w:hAnsiTheme="minorHAnsi" w:cstheme="minorHAnsi"/>
          <w:sz w:val="22"/>
          <w:szCs w:val="22"/>
        </w:rPr>
        <w:t>13</w:t>
      </w:r>
      <w:r w:rsidR="003C44C8" w:rsidRPr="00565013">
        <w:rPr>
          <w:rFonts w:asciiTheme="minorHAnsi" w:hAnsiTheme="minorHAnsi" w:cstheme="minorHAnsi"/>
          <w:sz w:val="22"/>
          <w:szCs w:val="22"/>
        </w:rPr>
        <w:t xml:space="preserve"> (</w:t>
      </w:r>
      <w:r w:rsidR="006F5863" w:rsidRPr="00565013">
        <w:rPr>
          <w:rFonts w:asciiTheme="minorHAnsi" w:hAnsiTheme="minorHAnsi" w:cstheme="minorHAnsi"/>
          <w:sz w:val="22"/>
          <w:szCs w:val="22"/>
        </w:rPr>
        <w:t>as amended</w:t>
      </w:r>
      <w:r w:rsidR="003C44C8" w:rsidRPr="00565013">
        <w:rPr>
          <w:rFonts w:asciiTheme="minorHAnsi" w:hAnsiTheme="minorHAnsi" w:cstheme="minorHAnsi"/>
          <w:sz w:val="22"/>
          <w:szCs w:val="22"/>
        </w:rPr>
        <w:t>)</w:t>
      </w:r>
      <w:r w:rsidR="00D23589" w:rsidRPr="00565013">
        <w:rPr>
          <w:rFonts w:asciiTheme="minorHAnsi" w:hAnsiTheme="minorHAnsi" w:cstheme="minorHAnsi"/>
          <w:sz w:val="22"/>
          <w:szCs w:val="22"/>
        </w:rPr>
        <w:t xml:space="preserve"> (“The Regulations”)</w:t>
      </w:r>
      <w:r w:rsidR="002C7FCA" w:rsidRPr="00565013">
        <w:rPr>
          <w:rFonts w:asciiTheme="minorHAnsi" w:hAnsiTheme="minorHAnsi" w:cstheme="minorHAnsi"/>
          <w:sz w:val="22"/>
          <w:szCs w:val="22"/>
        </w:rPr>
        <w:t>.</w:t>
      </w:r>
      <w:r w:rsidR="00D23589" w:rsidRPr="00565013">
        <w:rPr>
          <w:rFonts w:asciiTheme="minorHAnsi" w:hAnsiTheme="minorHAnsi" w:cstheme="minorHAnsi"/>
          <w:sz w:val="22"/>
          <w:szCs w:val="22"/>
        </w:rPr>
        <w:t xml:space="preserve"> </w:t>
      </w:r>
      <w:r w:rsidR="00AB76E6" w:rsidRPr="00565013">
        <w:rPr>
          <w:rFonts w:asciiTheme="minorHAnsi" w:hAnsiTheme="minorHAnsi" w:cstheme="minorHAnsi"/>
          <w:sz w:val="22"/>
          <w:szCs w:val="22"/>
        </w:rPr>
        <w:t xml:space="preserve">These Regulations can be found </w:t>
      </w:r>
      <w:hyperlink r:id="rId14" w:history="1">
        <w:r w:rsidR="00AB76E6" w:rsidRPr="00565013">
          <w:rPr>
            <w:rStyle w:val="Hyperlink"/>
            <w:rFonts w:asciiTheme="minorHAnsi" w:hAnsiTheme="minorHAnsi" w:cstheme="minorHAnsi"/>
            <w:sz w:val="22"/>
            <w:szCs w:val="22"/>
          </w:rPr>
          <w:t>here</w:t>
        </w:r>
      </w:hyperlink>
      <w:r w:rsidR="00472F95" w:rsidRPr="00565013">
        <w:rPr>
          <w:rFonts w:asciiTheme="minorHAnsi" w:hAnsiTheme="minorHAnsi" w:cstheme="minorHAnsi"/>
          <w:sz w:val="22"/>
          <w:szCs w:val="22"/>
        </w:rPr>
        <w:t>.</w:t>
      </w:r>
    </w:p>
    <w:p w14:paraId="4022F629" w14:textId="06076283" w:rsidR="00894290" w:rsidRPr="0023289F" w:rsidRDefault="00894290" w:rsidP="00531A8D">
      <w:pPr>
        <w:pStyle w:val="Heading1Num"/>
        <w:tabs>
          <w:tab w:val="clear" w:pos="1277"/>
          <w:tab w:val="num" w:pos="1276"/>
        </w:tabs>
        <w:ind w:left="1276" w:hanging="1276"/>
        <w:rPr>
          <w:b w:val="0"/>
          <w:szCs w:val="24"/>
          <w:lang w:val="en-US"/>
        </w:rPr>
      </w:pPr>
      <w:bookmarkStart w:id="1" w:name="_Toc80875359"/>
      <w:r w:rsidRPr="0023289F">
        <w:rPr>
          <w:szCs w:val="24"/>
          <w:lang w:val="en-US"/>
        </w:rPr>
        <w:t xml:space="preserve">Policy </w:t>
      </w:r>
      <w:r w:rsidR="006B2BF2">
        <w:rPr>
          <w:szCs w:val="24"/>
          <w:lang w:val="en-US"/>
        </w:rPr>
        <w:t>o</w:t>
      </w:r>
      <w:r w:rsidRPr="0023289F">
        <w:rPr>
          <w:szCs w:val="24"/>
          <w:lang w:val="en-US"/>
        </w:rPr>
        <w:t>bjectives</w:t>
      </w:r>
      <w:bookmarkEnd w:id="1"/>
    </w:p>
    <w:p w14:paraId="184A6055" w14:textId="157AF9A0" w:rsidR="00894290" w:rsidRPr="00565013" w:rsidRDefault="00894290" w:rsidP="00565013">
      <w:pPr>
        <w:ind w:left="1276"/>
        <w:rPr>
          <w:rFonts w:asciiTheme="minorHAnsi" w:hAnsiTheme="minorHAnsi" w:cstheme="minorHAnsi"/>
          <w:sz w:val="22"/>
          <w:szCs w:val="22"/>
        </w:rPr>
      </w:pPr>
      <w:r w:rsidRPr="00565013">
        <w:rPr>
          <w:rFonts w:asciiTheme="minorHAnsi" w:hAnsiTheme="minorHAnsi" w:cstheme="minorHAnsi"/>
          <w:sz w:val="22"/>
          <w:szCs w:val="22"/>
        </w:rPr>
        <w:t>The</w:t>
      </w:r>
      <w:r w:rsidR="00DF4C59" w:rsidRPr="00565013">
        <w:rPr>
          <w:rFonts w:asciiTheme="minorHAnsi" w:hAnsiTheme="minorHAnsi" w:cstheme="minorHAnsi"/>
          <w:sz w:val="22"/>
          <w:szCs w:val="22"/>
        </w:rPr>
        <w:t xml:space="preserve"> Fund’s</w:t>
      </w:r>
      <w:r w:rsidR="0072711C" w:rsidRPr="00565013">
        <w:rPr>
          <w:rFonts w:asciiTheme="minorHAnsi" w:hAnsiTheme="minorHAnsi" w:cstheme="minorHAnsi"/>
          <w:sz w:val="22"/>
          <w:szCs w:val="22"/>
        </w:rPr>
        <w:t xml:space="preserve"> objectives related to this policy are as follows:</w:t>
      </w:r>
    </w:p>
    <w:p w14:paraId="785E63C2" w14:textId="77777777" w:rsidR="0072711C" w:rsidRPr="00F8084A" w:rsidRDefault="0072711C" w:rsidP="00CC700A">
      <w:pPr>
        <w:pStyle w:val="Heading2Num"/>
        <w:numPr>
          <w:ilvl w:val="0"/>
          <w:numId w:val="0"/>
        </w:numPr>
        <w:ind w:left="1276"/>
        <w:rPr>
          <w:rFonts w:asciiTheme="minorHAnsi" w:hAnsiTheme="minorHAnsi" w:cstheme="minorHAnsi"/>
          <w:b w:val="0"/>
          <w:color w:val="auto"/>
          <w:sz w:val="22"/>
          <w:szCs w:val="22"/>
        </w:rPr>
      </w:pPr>
    </w:p>
    <w:p w14:paraId="4556F514" w14:textId="17788512" w:rsidR="00317652" w:rsidRPr="00F8084A" w:rsidRDefault="00EC4DC0"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8084A">
        <w:rPr>
          <w:rFonts w:asciiTheme="minorHAnsi" w:hAnsiTheme="minorHAnsi" w:cstheme="minorHAnsi"/>
          <w:color w:val="000000" w:themeColor="text1"/>
          <w:szCs w:val="22"/>
        </w:rPr>
        <w:t>To ensure employer contributions are as stable as possible, recognising the characteristics, circumstances and affordability constraints of each employer;</w:t>
      </w:r>
    </w:p>
    <w:p w14:paraId="3B88D474" w14:textId="231B25AC" w:rsidR="00DD37FC" w:rsidRPr="006B2BF2" w:rsidRDefault="00EC4DC0"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6B2BF2">
        <w:rPr>
          <w:rFonts w:asciiTheme="minorHAnsi" w:hAnsiTheme="minorHAnsi" w:cstheme="minorHAnsi"/>
          <w:color w:val="000000" w:themeColor="text1"/>
          <w:szCs w:val="22"/>
        </w:rPr>
        <w:t>To ensure the long-term solvency of the Fund, taking a prudent long term view, so that sufficient funds are available to meet all members’/dependants’ benefits as they fall due for payment.</w:t>
      </w:r>
      <w:r w:rsidR="00703C50" w:rsidRPr="006B2BF2">
        <w:rPr>
          <w:rFonts w:asciiTheme="minorHAnsi" w:hAnsiTheme="minorHAnsi" w:cstheme="minorHAnsi"/>
          <w:color w:val="000000" w:themeColor="text1"/>
          <w:szCs w:val="22"/>
        </w:rPr>
        <w:t>;</w:t>
      </w:r>
    </w:p>
    <w:p w14:paraId="61170533" w14:textId="7B7B918D" w:rsidR="00F0795E" w:rsidRDefault="00EC4DC0"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8084A">
        <w:rPr>
          <w:rFonts w:asciiTheme="minorHAnsi" w:hAnsiTheme="minorHAnsi" w:cstheme="minorHAnsi"/>
          <w:color w:val="000000" w:themeColor="text1"/>
          <w:szCs w:val="22"/>
        </w:rPr>
        <w:t>To manage the Fund in a fair and equitable manner, having regard to what is in the best interest of the Fund’s stakeholders, particularly the scheme members and employers.</w:t>
      </w:r>
      <w:r w:rsidR="00703C50" w:rsidRPr="00F8084A">
        <w:rPr>
          <w:rFonts w:asciiTheme="minorHAnsi" w:hAnsiTheme="minorHAnsi" w:cstheme="minorHAnsi"/>
          <w:color w:val="000000" w:themeColor="text1"/>
          <w:szCs w:val="22"/>
        </w:rPr>
        <w:t>; and</w:t>
      </w:r>
      <w:r w:rsidR="00DD37FC" w:rsidRPr="00F8084A">
        <w:rPr>
          <w:rFonts w:asciiTheme="minorHAnsi" w:hAnsiTheme="minorHAnsi" w:cstheme="minorHAnsi"/>
          <w:color w:val="000000" w:themeColor="text1"/>
          <w:szCs w:val="22"/>
        </w:rPr>
        <w:t xml:space="preserve"> </w:t>
      </w:r>
    </w:p>
    <w:p w14:paraId="5E391081" w14:textId="0C22C78E" w:rsidR="00DD37FC" w:rsidRPr="00F37FAC" w:rsidRDefault="006B2BF2" w:rsidP="00EC7ACE">
      <w:pPr>
        <w:pStyle w:val="ListParagraph"/>
        <w:numPr>
          <w:ilvl w:val="0"/>
          <w:numId w:val="7"/>
        </w:numPr>
        <w:autoSpaceDE w:val="0"/>
        <w:autoSpaceDN w:val="0"/>
        <w:adjustRightInd w:val="0"/>
        <w:rPr>
          <w:rFonts w:ascii="Arial" w:hAnsi="Arial" w:cs="Arial"/>
          <w:color w:val="000000" w:themeColor="text1"/>
          <w:sz w:val="24"/>
        </w:rPr>
      </w:pPr>
      <w:r w:rsidRPr="00F37FAC">
        <w:rPr>
          <w:rFonts w:asciiTheme="minorHAnsi" w:hAnsiTheme="minorHAnsi" w:cstheme="minorHAnsi"/>
          <w:color w:val="000000" w:themeColor="text1"/>
          <w:szCs w:val="22"/>
        </w:rPr>
        <w:t>To ensure appropriate exit strategies are put in place both in the lead up to and termination of a scheme employer.</w:t>
      </w:r>
    </w:p>
    <w:p w14:paraId="4ADC5372" w14:textId="3C3103BF" w:rsidR="00DD37FC" w:rsidRDefault="00DD37FC" w:rsidP="00531A8D">
      <w:pPr>
        <w:pStyle w:val="Heading1Num"/>
        <w:tabs>
          <w:tab w:val="clear" w:pos="1277"/>
          <w:tab w:val="num" w:pos="1276"/>
        </w:tabs>
        <w:ind w:left="1276" w:hanging="1276"/>
        <w:rPr>
          <w:szCs w:val="24"/>
          <w:lang w:val="en-US"/>
        </w:rPr>
      </w:pPr>
      <w:bookmarkStart w:id="2" w:name="_Toc80875360"/>
      <w:r w:rsidRPr="0023289F">
        <w:rPr>
          <w:szCs w:val="24"/>
          <w:lang w:val="en-US"/>
        </w:rPr>
        <w:t>Purpose of the policy</w:t>
      </w:r>
      <w:bookmarkEnd w:id="2"/>
    </w:p>
    <w:p w14:paraId="3F697A7F" w14:textId="77777777" w:rsidR="006B2BF2" w:rsidRPr="006B2BF2" w:rsidRDefault="006B2BF2" w:rsidP="006B2BF2"/>
    <w:p w14:paraId="017A252B" w14:textId="2A0B0D8B" w:rsidR="00DD37FC" w:rsidRPr="00565013" w:rsidRDefault="00DD37FC" w:rsidP="00565013">
      <w:pPr>
        <w:ind w:left="1276"/>
        <w:rPr>
          <w:rFonts w:asciiTheme="minorHAnsi" w:hAnsiTheme="minorHAnsi" w:cstheme="minorHAnsi"/>
          <w:sz w:val="22"/>
          <w:szCs w:val="22"/>
        </w:rPr>
      </w:pPr>
      <w:r w:rsidRPr="00565013">
        <w:rPr>
          <w:rFonts w:asciiTheme="minorHAnsi" w:hAnsiTheme="minorHAnsi" w:cstheme="minorHAnsi"/>
          <w:sz w:val="22"/>
          <w:szCs w:val="22"/>
        </w:rPr>
        <w:t>The purpose of the policy is to</w:t>
      </w:r>
      <w:r w:rsidR="00565013" w:rsidRPr="00565013">
        <w:rPr>
          <w:rFonts w:asciiTheme="minorHAnsi" w:hAnsiTheme="minorHAnsi" w:cstheme="minorHAnsi"/>
          <w:sz w:val="22"/>
          <w:szCs w:val="22"/>
        </w:rPr>
        <w:t>:</w:t>
      </w:r>
      <w:r w:rsidRPr="00565013">
        <w:rPr>
          <w:rFonts w:asciiTheme="minorHAnsi" w:hAnsiTheme="minorHAnsi" w:cstheme="minorHAnsi"/>
          <w:sz w:val="22"/>
          <w:szCs w:val="22"/>
        </w:rPr>
        <w:t xml:space="preserve"> </w:t>
      </w:r>
    </w:p>
    <w:p w14:paraId="45F0938D" w14:textId="77777777" w:rsidR="0087269B" w:rsidRPr="006B2BF2" w:rsidRDefault="0087269B">
      <w:pPr>
        <w:widowControl/>
        <w:rPr>
          <w:rFonts w:asciiTheme="minorHAnsi" w:hAnsiTheme="minorHAnsi" w:cstheme="minorHAnsi"/>
          <w:sz w:val="22"/>
          <w:szCs w:val="22"/>
          <w:lang w:val="en-GB"/>
        </w:rPr>
      </w:pPr>
    </w:p>
    <w:p w14:paraId="39595327" w14:textId="77777777" w:rsidR="0087269B" w:rsidRPr="006B2BF2" w:rsidRDefault="0087269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6B2BF2">
        <w:rPr>
          <w:rFonts w:asciiTheme="minorHAnsi" w:hAnsiTheme="minorHAnsi" w:cstheme="minorHAnsi"/>
          <w:color w:val="000000" w:themeColor="text1"/>
          <w:szCs w:val="22"/>
        </w:rPr>
        <w:t xml:space="preserve">ensure the long-term solvency of the Fund as a whole and the solvency of each of the notional </w:t>
      </w:r>
      <w:r w:rsidR="006C2653" w:rsidRPr="006B2BF2">
        <w:rPr>
          <w:rFonts w:asciiTheme="minorHAnsi" w:hAnsiTheme="minorHAnsi" w:cstheme="minorHAnsi"/>
          <w:color w:val="000000" w:themeColor="text1"/>
          <w:szCs w:val="22"/>
        </w:rPr>
        <w:t>sub funds</w:t>
      </w:r>
      <w:r w:rsidRPr="006B2BF2">
        <w:rPr>
          <w:rFonts w:asciiTheme="minorHAnsi" w:hAnsiTheme="minorHAnsi" w:cstheme="minorHAnsi"/>
          <w:color w:val="000000" w:themeColor="text1"/>
          <w:szCs w:val="22"/>
        </w:rPr>
        <w:t xml:space="preserve"> allocated to the individual employers;</w:t>
      </w:r>
    </w:p>
    <w:p w14:paraId="347B96D6" w14:textId="18B1E3E3" w:rsidR="00187988" w:rsidRPr="00F37FAC" w:rsidRDefault="005F2BF6"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6B2BF2">
        <w:rPr>
          <w:rFonts w:asciiTheme="minorHAnsi" w:hAnsiTheme="minorHAnsi" w:cstheme="minorHAnsi"/>
          <w:color w:val="000000" w:themeColor="text1"/>
          <w:szCs w:val="22"/>
        </w:rPr>
        <w:t>set out the process by which new employers are admitted into the Fund</w:t>
      </w:r>
      <w:r w:rsidR="00232E6E" w:rsidRPr="006B2BF2">
        <w:rPr>
          <w:rFonts w:asciiTheme="minorHAnsi" w:hAnsiTheme="minorHAnsi" w:cstheme="minorHAnsi"/>
          <w:color w:val="000000" w:themeColor="text1"/>
          <w:szCs w:val="22"/>
        </w:rPr>
        <w:t>, including the various requirements they need to adhere to in order to achieve th</w:t>
      </w:r>
      <w:r w:rsidR="00981A55" w:rsidRPr="006B2BF2">
        <w:rPr>
          <w:rFonts w:asciiTheme="minorHAnsi" w:hAnsiTheme="minorHAnsi" w:cstheme="minorHAnsi"/>
          <w:color w:val="000000" w:themeColor="text1"/>
          <w:szCs w:val="22"/>
        </w:rPr>
        <w:t>at</w:t>
      </w:r>
      <w:r w:rsidR="00232E6E" w:rsidRPr="006B2BF2">
        <w:rPr>
          <w:rFonts w:asciiTheme="minorHAnsi" w:hAnsiTheme="minorHAnsi" w:cstheme="minorHAnsi"/>
          <w:color w:val="000000" w:themeColor="text1"/>
          <w:szCs w:val="22"/>
        </w:rPr>
        <w:t>;</w:t>
      </w:r>
    </w:p>
    <w:p w14:paraId="7EA232E3" w14:textId="4D8EDAFE" w:rsidR="00232E6E" w:rsidRPr="00F37FAC" w:rsidRDefault="00A070F4"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 xml:space="preserve">Set out the approach the </w:t>
      </w:r>
      <w:r w:rsidR="00147251" w:rsidRPr="00F37FAC">
        <w:rPr>
          <w:rFonts w:asciiTheme="minorHAnsi" w:hAnsiTheme="minorHAnsi" w:cstheme="minorHAnsi"/>
          <w:color w:val="000000" w:themeColor="text1"/>
          <w:szCs w:val="22"/>
        </w:rPr>
        <w:t>Admin</w:t>
      </w:r>
      <w:r w:rsidR="00F04430" w:rsidRPr="00F37FAC">
        <w:rPr>
          <w:rFonts w:asciiTheme="minorHAnsi" w:hAnsiTheme="minorHAnsi" w:cstheme="minorHAnsi"/>
          <w:color w:val="000000" w:themeColor="text1"/>
          <w:szCs w:val="22"/>
        </w:rPr>
        <w:t>istering Authority</w:t>
      </w:r>
      <w:r w:rsidRPr="00F37FAC">
        <w:rPr>
          <w:rFonts w:asciiTheme="minorHAnsi" w:hAnsiTheme="minorHAnsi" w:cstheme="minorHAnsi"/>
          <w:color w:val="000000" w:themeColor="text1"/>
          <w:szCs w:val="22"/>
        </w:rPr>
        <w:t xml:space="preserve"> will take in relation to bulk transfer</w:t>
      </w:r>
      <w:r w:rsidR="002B5C97" w:rsidRPr="00F37FAC">
        <w:rPr>
          <w:rFonts w:asciiTheme="minorHAnsi" w:hAnsiTheme="minorHAnsi" w:cstheme="minorHAnsi"/>
          <w:color w:val="000000" w:themeColor="text1"/>
          <w:szCs w:val="22"/>
        </w:rPr>
        <w:t>s</w:t>
      </w:r>
      <w:r w:rsidRPr="00F37FAC">
        <w:rPr>
          <w:rFonts w:asciiTheme="minorHAnsi" w:hAnsiTheme="minorHAnsi" w:cstheme="minorHAnsi"/>
          <w:color w:val="000000" w:themeColor="text1"/>
          <w:szCs w:val="22"/>
        </w:rPr>
        <w:t xml:space="preserve"> into and out of the Fund;</w:t>
      </w:r>
    </w:p>
    <w:p w14:paraId="71BF94BA" w14:textId="7326014D" w:rsidR="0087269B" w:rsidRPr="00F37FAC" w:rsidRDefault="0087269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ensure that sufficient funds are available to meet all benefits as they fall due for payment;</w:t>
      </w:r>
    </w:p>
    <w:p w14:paraId="319C84FE" w14:textId="2E5F36AA" w:rsidR="0087269B" w:rsidRPr="00F37FAC" w:rsidRDefault="001F1FE2"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 xml:space="preserve">not </w:t>
      </w:r>
      <w:r w:rsidR="0087269B" w:rsidRPr="00F37FAC">
        <w:rPr>
          <w:rFonts w:asciiTheme="minorHAnsi" w:hAnsiTheme="minorHAnsi" w:cstheme="minorHAnsi"/>
          <w:color w:val="000000" w:themeColor="text1"/>
          <w:szCs w:val="22"/>
        </w:rPr>
        <w:t>restrain unnecessarily the investment strategy of the Fund so that the Administering Authority can seek to maximise investment returns (and hence minimise the cost of the benefits) for an appropriate level of risk;</w:t>
      </w:r>
    </w:p>
    <w:p w14:paraId="1D542DF3" w14:textId="5C72A8FA" w:rsidR="0087269B" w:rsidRPr="00F37FAC" w:rsidRDefault="0087269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help employers recognise and manage pension liabilities</w:t>
      </w:r>
      <w:r w:rsidR="008C5A03" w:rsidRPr="00F37FAC">
        <w:rPr>
          <w:rFonts w:asciiTheme="minorHAnsi" w:hAnsiTheme="minorHAnsi" w:cstheme="minorHAnsi"/>
          <w:color w:val="000000" w:themeColor="text1"/>
          <w:szCs w:val="22"/>
        </w:rPr>
        <w:t>,</w:t>
      </w:r>
      <w:r w:rsidRPr="00F37FAC">
        <w:rPr>
          <w:rFonts w:asciiTheme="minorHAnsi" w:hAnsiTheme="minorHAnsi" w:cstheme="minorHAnsi"/>
          <w:color w:val="000000" w:themeColor="text1"/>
          <w:szCs w:val="22"/>
        </w:rPr>
        <w:t xml:space="preserve"> </w:t>
      </w:r>
      <w:r w:rsidR="008C5A03" w:rsidRPr="00F37FAC">
        <w:rPr>
          <w:rFonts w:asciiTheme="minorHAnsi" w:hAnsiTheme="minorHAnsi" w:cstheme="minorHAnsi"/>
          <w:color w:val="000000" w:themeColor="text1"/>
          <w:szCs w:val="22"/>
        </w:rPr>
        <w:t>and the possible</w:t>
      </w:r>
      <w:r w:rsidRPr="00F37FAC">
        <w:rPr>
          <w:rFonts w:asciiTheme="minorHAnsi" w:hAnsiTheme="minorHAnsi" w:cstheme="minorHAnsi"/>
          <w:color w:val="000000" w:themeColor="text1"/>
          <w:szCs w:val="22"/>
        </w:rPr>
        <w:t xml:space="preserve"> effect</w:t>
      </w:r>
      <w:r w:rsidR="0007075B" w:rsidRPr="00F37FAC">
        <w:rPr>
          <w:rFonts w:asciiTheme="minorHAnsi" w:hAnsiTheme="minorHAnsi" w:cstheme="minorHAnsi"/>
          <w:color w:val="000000" w:themeColor="text1"/>
          <w:szCs w:val="22"/>
        </w:rPr>
        <w:t xml:space="preserve"> </w:t>
      </w:r>
      <w:r w:rsidRPr="00F37FAC">
        <w:rPr>
          <w:rFonts w:asciiTheme="minorHAnsi" w:hAnsiTheme="minorHAnsi" w:cstheme="minorHAnsi"/>
          <w:color w:val="000000" w:themeColor="text1"/>
          <w:szCs w:val="22"/>
        </w:rPr>
        <w:t>on the operation of their business;</w:t>
      </w:r>
    </w:p>
    <w:p w14:paraId="050742A5" w14:textId="45FAE573" w:rsidR="0087269B" w:rsidRPr="00F37FAC" w:rsidRDefault="0087269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use reasonable measures to reduce the risk to other employers and ultimately to the council tax payer from an employer ceasing participation or defaulting on its pension obligations;</w:t>
      </w:r>
    </w:p>
    <w:p w14:paraId="107BBAA0" w14:textId="36BEB235" w:rsidR="0087269B" w:rsidRPr="00F37FAC" w:rsidRDefault="0087269B" w:rsidP="00EC7ACE">
      <w:pPr>
        <w:pStyle w:val="ListParagraph"/>
        <w:numPr>
          <w:ilvl w:val="0"/>
          <w:numId w:val="7"/>
        </w:numPr>
        <w:autoSpaceDE w:val="0"/>
        <w:autoSpaceDN w:val="0"/>
        <w:adjustRightInd w:val="0"/>
        <w:ind w:left="1276" w:hanging="425"/>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address the different characteristics of employers or groups of employers to the extent that this is practical and cost-effective; and</w:t>
      </w:r>
    </w:p>
    <w:p w14:paraId="75B352B5" w14:textId="77777777" w:rsidR="0087269B" w:rsidRPr="006B2BF2" w:rsidRDefault="0087269B" w:rsidP="00EC7ACE">
      <w:pPr>
        <w:pStyle w:val="ListParagraph"/>
        <w:numPr>
          <w:ilvl w:val="0"/>
          <w:numId w:val="7"/>
        </w:numPr>
        <w:autoSpaceDE w:val="0"/>
        <w:autoSpaceDN w:val="0"/>
        <w:adjustRightInd w:val="0"/>
        <w:ind w:left="1276" w:hanging="425"/>
        <w:rPr>
          <w:rFonts w:asciiTheme="minorHAnsi" w:hAnsiTheme="minorHAnsi" w:cstheme="minorHAnsi"/>
          <w:color w:val="4B4B4B"/>
          <w:szCs w:val="22"/>
        </w:rPr>
      </w:pPr>
      <w:r w:rsidRPr="006B2BF2">
        <w:rPr>
          <w:rFonts w:asciiTheme="minorHAnsi" w:hAnsiTheme="minorHAnsi" w:cstheme="minorHAnsi"/>
          <w:color w:val="000000" w:themeColor="text1"/>
          <w:szCs w:val="22"/>
        </w:rPr>
        <w:t>mai</w:t>
      </w:r>
      <w:r w:rsidR="00CC700A" w:rsidRPr="006B2BF2">
        <w:rPr>
          <w:rFonts w:asciiTheme="minorHAnsi" w:hAnsiTheme="minorHAnsi" w:cstheme="minorHAnsi"/>
          <w:color w:val="000000" w:themeColor="text1"/>
          <w:szCs w:val="22"/>
        </w:rPr>
        <w:t>ntain the affordability of the F</w:t>
      </w:r>
      <w:r w:rsidRPr="006B2BF2">
        <w:rPr>
          <w:rFonts w:asciiTheme="minorHAnsi" w:hAnsiTheme="minorHAnsi" w:cstheme="minorHAnsi"/>
          <w:color w:val="000000" w:themeColor="text1"/>
          <w:szCs w:val="22"/>
        </w:rPr>
        <w:t>und to employers as far as is reasonable over the longer term.</w:t>
      </w:r>
    </w:p>
    <w:p w14:paraId="7B78DEA4" w14:textId="0B68F898" w:rsidR="00036832" w:rsidRPr="006B2BF2" w:rsidRDefault="00F81FA6" w:rsidP="006B2BF2">
      <w:pPr>
        <w:pStyle w:val="Heading1Num"/>
        <w:ind w:hanging="1277"/>
      </w:pPr>
      <w:bookmarkStart w:id="3" w:name="_Toc80875361"/>
      <w:r>
        <w:t>Cambridge</w:t>
      </w:r>
      <w:r w:rsidR="00611B8F" w:rsidRPr="006B2BF2">
        <w:t>shire Pension Fund</w:t>
      </w:r>
      <w:r w:rsidR="00F819E0" w:rsidRPr="006B2BF2">
        <w:t xml:space="preserve"> </w:t>
      </w:r>
      <w:r w:rsidR="006B2BF2" w:rsidRPr="006B2BF2">
        <w:t>p</w:t>
      </w:r>
      <w:r w:rsidR="00036832" w:rsidRPr="006B2BF2">
        <w:t>olicies</w:t>
      </w:r>
      <w:bookmarkEnd w:id="3"/>
    </w:p>
    <w:p w14:paraId="67022134" w14:textId="77777777" w:rsidR="000F4A7C" w:rsidRDefault="000F4A7C" w:rsidP="00531A8D">
      <w:pPr>
        <w:pStyle w:val="Heading2Num"/>
        <w:numPr>
          <w:ilvl w:val="0"/>
          <w:numId w:val="0"/>
        </w:numPr>
        <w:tabs>
          <w:tab w:val="num" w:pos="1276"/>
        </w:tabs>
        <w:ind w:left="1276" w:hanging="1276"/>
        <w:rPr>
          <w:b w:val="0"/>
          <w:color w:val="00B0F0"/>
          <w:szCs w:val="24"/>
        </w:rPr>
      </w:pPr>
    </w:p>
    <w:p w14:paraId="57C0A9D2" w14:textId="7A9CF15B" w:rsidR="00D47AD3" w:rsidRPr="00DD37FC" w:rsidRDefault="00D47AD3" w:rsidP="001F2473">
      <w:pPr>
        <w:pStyle w:val="Heading2Num"/>
        <w:ind w:hanging="1277"/>
      </w:pPr>
      <w:bookmarkStart w:id="4" w:name="_Toc80875362"/>
      <w:r w:rsidRPr="00DD37FC">
        <w:t xml:space="preserve">Admission </w:t>
      </w:r>
      <w:r w:rsidR="00CA511F">
        <w:t>b</w:t>
      </w:r>
      <w:r w:rsidR="00611B8F" w:rsidRPr="00DD37FC">
        <w:t>odies</w:t>
      </w:r>
      <w:bookmarkEnd w:id="4"/>
    </w:p>
    <w:p w14:paraId="153FC6A4" w14:textId="77777777" w:rsidR="002D7D44" w:rsidRPr="00DD37FC" w:rsidRDefault="002D7D44" w:rsidP="00531A8D">
      <w:pPr>
        <w:pStyle w:val="Heading3Num"/>
        <w:numPr>
          <w:ilvl w:val="0"/>
          <w:numId w:val="0"/>
        </w:numPr>
        <w:tabs>
          <w:tab w:val="num" w:pos="1276"/>
        </w:tabs>
        <w:ind w:left="1276" w:hanging="1276"/>
        <w:rPr>
          <w:szCs w:val="24"/>
          <w:lang w:eastAsia="en-GB"/>
        </w:rPr>
      </w:pPr>
    </w:p>
    <w:p w14:paraId="4AB443E4" w14:textId="77777777" w:rsidR="002B2470" w:rsidRPr="000F4A7C" w:rsidRDefault="006F159C" w:rsidP="003C583F">
      <w:pPr>
        <w:pStyle w:val="Heading3Num"/>
        <w:tabs>
          <w:tab w:val="clear" w:pos="2127"/>
        </w:tabs>
        <w:ind w:left="1276" w:hanging="1276"/>
        <w:rPr>
          <w:lang w:eastAsia="en-GB"/>
        </w:rPr>
      </w:pPr>
      <w:bookmarkStart w:id="5" w:name="_Toc80875363"/>
      <w:r w:rsidRPr="000F4A7C">
        <w:rPr>
          <w:lang w:eastAsia="en-GB"/>
        </w:rPr>
        <w:t>Bond, indemnity or guarantor requirements for entry</w:t>
      </w:r>
      <w:bookmarkEnd w:id="5"/>
    </w:p>
    <w:p w14:paraId="6C12B35F" w14:textId="77777777" w:rsidR="00DD37FC" w:rsidRPr="001F2473" w:rsidRDefault="00DD37FC" w:rsidP="001F2473">
      <w:pPr>
        <w:keepNext/>
        <w:keepLines/>
        <w:spacing w:before="20" w:after="20" w:line="280" w:lineRule="atLeast"/>
        <w:ind w:left="720" w:hanging="360"/>
        <w:outlineLvl w:val="2"/>
        <w:rPr>
          <w:rFonts w:ascii="Arial" w:hAnsi="Arial" w:cs="Arial"/>
          <w:iCs/>
          <w:vanish/>
          <w:color w:val="000000"/>
        </w:rPr>
      </w:pPr>
    </w:p>
    <w:p w14:paraId="24783F85" w14:textId="430C2DF7" w:rsidR="00F86E1C" w:rsidRPr="00565013" w:rsidRDefault="000B3528"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In accordance with The Regulations every </w:t>
      </w:r>
      <w:r w:rsidR="004D5378" w:rsidRPr="00565013">
        <w:rPr>
          <w:rFonts w:asciiTheme="minorHAnsi" w:hAnsiTheme="minorHAnsi" w:cstheme="minorHAnsi"/>
          <w:sz w:val="22"/>
          <w:szCs w:val="22"/>
        </w:rPr>
        <w:t>admission body must carry out, to the satisfaction of the Fund</w:t>
      </w:r>
      <w:r w:rsidR="00023319" w:rsidRPr="00565013">
        <w:rPr>
          <w:rFonts w:asciiTheme="minorHAnsi" w:hAnsiTheme="minorHAnsi" w:cstheme="minorHAnsi"/>
          <w:sz w:val="22"/>
          <w:szCs w:val="22"/>
        </w:rPr>
        <w:t>,</w:t>
      </w:r>
      <w:r w:rsidR="004D5378" w:rsidRPr="00565013">
        <w:rPr>
          <w:rFonts w:asciiTheme="minorHAnsi" w:hAnsiTheme="minorHAnsi" w:cstheme="minorHAnsi"/>
          <w:sz w:val="22"/>
          <w:szCs w:val="22"/>
        </w:rPr>
        <w:t xml:space="preserve"> </w:t>
      </w:r>
      <w:r w:rsidR="005B743B" w:rsidRPr="00565013">
        <w:rPr>
          <w:rFonts w:asciiTheme="minorHAnsi" w:hAnsiTheme="minorHAnsi" w:cstheme="minorHAnsi"/>
          <w:sz w:val="22"/>
          <w:szCs w:val="22"/>
        </w:rPr>
        <w:t>a</w:t>
      </w:r>
      <w:r w:rsidR="00023319" w:rsidRPr="00565013">
        <w:rPr>
          <w:rFonts w:asciiTheme="minorHAnsi" w:hAnsiTheme="minorHAnsi" w:cstheme="minorHAnsi"/>
          <w:sz w:val="22"/>
          <w:szCs w:val="22"/>
        </w:rPr>
        <w:t xml:space="preserve"> risk</w:t>
      </w:r>
      <w:r w:rsidR="005B743B" w:rsidRPr="00565013">
        <w:rPr>
          <w:rFonts w:asciiTheme="minorHAnsi" w:hAnsiTheme="minorHAnsi" w:cstheme="minorHAnsi"/>
          <w:sz w:val="22"/>
          <w:szCs w:val="22"/>
        </w:rPr>
        <w:t xml:space="preserve"> assessment, taking account of actuarial </w:t>
      </w:r>
      <w:r w:rsidR="000D3000" w:rsidRPr="00565013">
        <w:rPr>
          <w:rFonts w:asciiTheme="minorHAnsi" w:hAnsiTheme="minorHAnsi" w:cstheme="minorHAnsi"/>
          <w:sz w:val="22"/>
          <w:szCs w:val="22"/>
        </w:rPr>
        <w:t>advice.</w:t>
      </w:r>
      <w:r w:rsidR="005B743B" w:rsidRPr="00565013">
        <w:rPr>
          <w:rFonts w:asciiTheme="minorHAnsi" w:hAnsiTheme="minorHAnsi" w:cstheme="minorHAnsi"/>
          <w:sz w:val="22"/>
          <w:szCs w:val="22"/>
        </w:rPr>
        <w:t xml:space="preserve"> </w:t>
      </w:r>
      <w:r w:rsidR="00023319" w:rsidRPr="00565013">
        <w:rPr>
          <w:rFonts w:asciiTheme="minorHAnsi" w:hAnsiTheme="minorHAnsi" w:cstheme="minorHAnsi"/>
          <w:sz w:val="22"/>
          <w:szCs w:val="22"/>
        </w:rPr>
        <w:t>This</w:t>
      </w:r>
      <w:r w:rsidR="00E7109E" w:rsidRPr="00565013">
        <w:rPr>
          <w:rFonts w:asciiTheme="minorHAnsi" w:hAnsiTheme="minorHAnsi" w:cstheme="minorHAnsi"/>
          <w:sz w:val="22"/>
          <w:szCs w:val="22"/>
        </w:rPr>
        <w:t xml:space="preserve"> should assess</w:t>
      </w:r>
      <w:r w:rsidR="00C0791E" w:rsidRPr="00565013">
        <w:rPr>
          <w:rFonts w:asciiTheme="minorHAnsi" w:hAnsiTheme="minorHAnsi" w:cstheme="minorHAnsi"/>
          <w:sz w:val="22"/>
          <w:szCs w:val="22"/>
        </w:rPr>
        <w:t xml:space="preserve"> the level of risk arising on premature termination of the provision of service or assets by reason of </w:t>
      </w:r>
      <w:r w:rsidR="00E7109E" w:rsidRPr="00565013">
        <w:rPr>
          <w:rFonts w:asciiTheme="minorHAnsi" w:hAnsiTheme="minorHAnsi" w:cstheme="minorHAnsi"/>
          <w:sz w:val="22"/>
          <w:szCs w:val="22"/>
        </w:rPr>
        <w:t xml:space="preserve">the admission body’s </w:t>
      </w:r>
      <w:r w:rsidR="00C0791E" w:rsidRPr="00565013">
        <w:rPr>
          <w:rFonts w:asciiTheme="minorHAnsi" w:hAnsiTheme="minorHAnsi" w:cstheme="minorHAnsi"/>
          <w:sz w:val="22"/>
          <w:szCs w:val="22"/>
        </w:rPr>
        <w:t xml:space="preserve">insolvency, winding up, or liquidation. </w:t>
      </w:r>
    </w:p>
    <w:p w14:paraId="34299C78" w14:textId="4659F323" w:rsidR="00F86E1C" w:rsidRPr="00565013" w:rsidRDefault="00F86E1C" w:rsidP="00565013">
      <w:pPr>
        <w:ind w:left="1276"/>
        <w:rPr>
          <w:rFonts w:asciiTheme="minorHAnsi" w:hAnsiTheme="minorHAnsi" w:cstheme="minorHAnsi"/>
          <w:sz w:val="22"/>
          <w:szCs w:val="22"/>
        </w:rPr>
      </w:pPr>
    </w:p>
    <w:p w14:paraId="3B64888D" w14:textId="77777777" w:rsidR="00BE3FE0" w:rsidRPr="00565013" w:rsidRDefault="00C0791E"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Where the body is admitted under Paragraph 1(d) of Part 3 of Schedule 2 such risk assessment must also be carried out to the satisfaction of the scheme </w:t>
      </w:r>
      <w:r w:rsidR="00F86E1C" w:rsidRPr="00565013">
        <w:rPr>
          <w:rFonts w:asciiTheme="minorHAnsi" w:hAnsiTheme="minorHAnsi" w:cstheme="minorHAnsi"/>
          <w:sz w:val="22"/>
          <w:szCs w:val="22"/>
        </w:rPr>
        <w:t>employer entering into the contract or arrangement with that body</w:t>
      </w:r>
      <w:r w:rsidR="00254502" w:rsidRPr="00565013">
        <w:rPr>
          <w:rFonts w:asciiTheme="minorHAnsi" w:hAnsiTheme="minorHAnsi" w:cstheme="minorHAnsi"/>
          <w:sz w:val="22"/>
          <w:szCs w:val="22"/>
        </w:rPr>
        <w:t xml:space="preserve"> (the “awarding authority”)</w:t>
      </w:r>
      <w:r w:rsidR="00F86E1C" w:rsidRPr="00565013">
        <w:rPr>
          <w:rFonts w:asciiTheme="minorHAnsi" w:hAnsiTheme="minorHAnsi" w:cstheme="minorHAnsi"/>
          <w:sz w:val="22"/>
          <w:szCs w:val="22"/>
        </w:rPr>
        <w:t>.</w:t>
      </w:r>
    </w:p>
    <w:p w14:paraId="1AD764B6" w14:textId="77777777" w:rsidR="00066A8D" w:rsidRPr="00565013" w:rsidRDefault="00066A8D" w:rsidP="00565013">
      <w:pPr>
        <w:ind w:left="1276"/>
        <w:rPr>
          <w:rFonts w:asciiTheme="minorHAnsi" w:hAnsiTheme="minorHAnsi" w:cstheme="minorHAnsi"/>
          <w:sz w:val="22"/>
          <w:szCs w:val="22"/>
        </w:rPr>
      </w:pPr>
    </w:p>
    <w:p w14:paraId="543F6BA3" w14:textId="772CB91C" w:rsidR="002B2470" w:rsidRPr="00565013" w:rsidRDefault="00330B1F"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Taking account of the outcome of any risks assessments </w:t>
      </w:r>
      <w:r w:rsidR="00AB2A94" w:rsidRPr="00565013">
        <w:rPr>
          <w:rFonts w:asciiTheme="minorHAnsi" w:hAnsiTheme="minorHAnsi" w:cstheme="minorHAnsi"/>
          <w:sz w:val="22"/>
          <w:szCs w:val="22"/>
        </w:rPr>
        <w:t>t</w:t>
      </w:r>
      <w:r w:rsidR="00CC700A" w:rsidRPr="00565013">
        <w:rPr>
          <w:rFonts w:asciiTheme="minorHAnsi" w:hAnsiTheme="minorHAnsi" w:cstheme="minorHAnsi"/>
          <w:sz w:val="22"/>
          <w:szCs w:val="22"/>
        </w:rPr>
        <w:t xml:space="preserve">he </w:t>
      </w:r>
      <w:r w:rsidR="00F04430" w:rsidRPr="00565013">
        <w:rPr>
          <w:rFonts w:asciiTheme="minorHAnsi" w:hAnsiTheme="minorHAnsi" w:cstheme="minorHAnsi"/>
          <w:sz w:val="22"/>
          <w:szCs w:val="22"/>
        </w:rPr>
        <w:t xml:space="preserve">Administering Authority </w:t>
      </w:r>
      <w:r w:rsidR="002B2470" w:rsidRPr="00565013">
        <w:rPr>
          <w:rFonts w:asciiTheme="minorHAnsi" w:hAnsiTheme="minorHAnsi" w:cstheme="minorHAnsi"/>
          <w:sz w:val="22"/>
          <w:szCs w:val="22"/>
        </w:rPr>
        <w:t>will require any potential admission body to provide</w:t>
      </w:r>
      <w:r w:rsidR="00C14873" w:rsidRPr="00565013">
        <w:rPr>
          <w:rFonts w:asciiTheme="minorHAnsi" w:hAnsiTheme="minorHAnsi" w:cstheme="minorHAnsi"/>
          <w:sz w:val="22"/>
          <w:szCs w:val="22"/>
        </w:rPr>
        <w:t xml:space="preserve"> </w:t>
      </w:r>
      <w:r w:rsidR="00B6694C" w:rsidRPr="00565013">
        <w:rPr>
          <w:rFonts w:asciiTheme="minorHAnsi" w:hAnsiTheme="minorHAnsi" w:cstheme="minorHAnsi"/>
          <w:sz w:val="22"/>
          <w:szCs w:val="22"/>
        </w:rPr>
        <w:t>a suitable guarantee to the Fund</w:t>
      </w:r>
      <w:r w:rsidR="009400C0" w:rsidRPr="00565013">
        <w:rPr>
          <w:rFonts w:asciiTheme="minorHAnsi" w:hAnsiTheme="minorHAnsi" w:cstheme="minorHAnsi"/>
          <w:sz w:val="22"/>
          <w:szCs w:val="22"/>
        </w:rPr>
        <w:t xml:space="preserve">, </w:t>
      </w:r>
      <w:r w:rsidR="008245F5" w:rsidRPr="00565013">
        <w:rPr>
          <w:rFonts w:asciiTheme="minorHAnsi" w:hAnsiTheme="minorHAnsi" w:cstheme="minorHAnsi"/>
          <w:sz w:val="22"/>
          <w:szCs w:val="22"/>
        </w:rPr>
        <w:t>depending on the type of admission taking place, as fol</w:t>
      </w:r>
      <w:r w:rsidRPr="00565013">
        <w:rPr>
          <w:rFonts w:asciiTheme="minorHAnsi" w:hAnsiTheme="minorHAnsi" w:cstheme="minorHAnsi"/>
          <w:sz w:val="22"/>
          <w:szCs w:val="22"/>
        </w:rPr>
        <w:t>l</w:t>
      </w:r>
      <w:r w:rsidR="008245F5" w:rsidRPr="00565013">
        <w:rPr>
          <w:rFonts w:asciiTheme="minorHAnsi" w:hAnsiTheme="minorHAnsi" w:cstheme="minorHAnsi"/>
          <w:sz w:val="22"/>
          <w:szCs w:val="22"/>
        </w:rPr>
        <w:t>ows</w:t>
      </w:r>
      <w:r w:rsidR="002B2470" w:rsidRPr="00565013">
        <w:rPr>
          <w:rFonts w:asciiTheme="minorHAnsi" w:hAnsiTheme="minorHAnsi" w:cstheme="minorHAnsi"/>
          <w:sz w:val="22"/>
          <w:szCs w:val="22"/>
        </w:rPr>
        <w:t>:</w:t>
      </w:r>
    </w:p>
    <w:p w14:paraId="20113E08" w14:textId="77777777" w:rsidR="0087269B" w:rsidRPr="00565013" w:rsidRDefault="0087269B" w:rsidP="00565013">
      <w:pPr>
        <w:ind w:left="1276"/>
        <w:rPr>
          <w:rFonts w:asciiTheme="minorHAnsi" w:hAnsiTheme="minorHAnsi" w:cstheme="minorHAnsi"/>
          <w:sz w:val="22"/>
          <w:szCs w:val="22"/>
        </w:rPr>
      </w:pPr>
    </w:p>
    <w:p w14:paraId="50858F5F" w14:textId="0D31DF3E" w:rsidR="002B2470" w:rsidRPr="00565013" w:rsidRDefault="00D23589" w:rsidP="00565013">
      <w:pPr>
        <w:ind w:left="1276"/>
        <w:rPr>
          <w:rFonts w:asciiTheme="minorHAnsi" w:hAnsiTheme="minorHAnsi" w:cstheme="minorHAnsi"/>
          <w:sz w:val="22"/>
          <w:szCs w:val="22"/>
        </w:rPr>
      </w:pPr>
      <w:r w:rsidRPr="00565013">
        <w:rPr>
          <w:rFonts w:asciiTheme="minorHAnsi" w:hAnsiTheme="minorHAnsi" w:cstheme="minorHAnsi"/>
          <w:sz w:val="22"/>
          <w:szCs w:val="22"/>
        </w:rPr>
        <w:t>Bodies admitted under Paragraph</w:t>
      </w:r>
      <w:r w:rsidR="00846A32" w:rsidRPr="00565013">
        <w:rPr>
          <w:rFonts w:asciiTheme="minorHAnsi" w:hAnsiTheme="minorHAnsi" w:cstheme="minorHAnsi"/>
          <w:sz w:val="22"/>
          <w:szCs w:val="22"/>
        </w:rPr>
        <w:t>s</w:t>
      </w:r>
      <w:r w:rsidRPr="00565013">
        <w:rPr>
          <w:rFonts w:asciiTheme="minorHAnsi" w:hAnsiTheme="minorHAnsi" w:cstheme="minorHAnsi"/>
          <w:sz w:val="22"/>
          <w:szCs w:val="22"/>
        </w:rPr>
        <w:t xml:space="preserve"> 1(a)</w:t>
      </w:r>
      <w:r w:rsidR="004B1138" w:rsidRPr="00565013">
        <w:rPr>
          <w:rFonts w:asciiTheme="minorHAnsi" w:hAnsiTheme="minorHAnsi" w:cstheme="minorHAnsi"/>
          <w:sz w:val="22"/>
          <w:szCs w:val="22"/>
        </w:rPr>
        <w:t>, (b</w:t>
      </w:r>
      <w:r w:rsidR="000D3000" w:rsidRPr="00565013">
        <w:rPr>
          <w:rFonts w:asciiTheme="minorHAnsi" w:hAnsiTheme="minorHAnsi" w:cstheme="minorHAnsi"/>
          <w:sz w:val="22"/>
          <w:szCs w:val="22"/>
        </w:rPr>
        <w:t>), (</w:t>
      </w:r>
      <w:r w:rsidR="00846A32" w:rsidRPr="00565013">
        <w:rPr>
          <w:rFonts w:asciiTheme="minorHAnsi" w:hAnsiTheme="minorHAnsi" w:cstheme="minorHAnsi"/>
          <w:sz w:val="22"/>
          <w:szCs w:val="22"/>
        </w:rPr>
        <w:t>c) and (e)</w:t>
      </w:r>
      <w:r w:rsidRPr="00565013">
        <w:rPr>
          <w:rFonts w:asciiTheme="minorHAnsi" w:hAnsiTheme="minorHAnsi" w:cstheme="minorHAnsi"/>
          <w:sz w:val="22"/>
          <w:szCs w:val="22"/>
        </w:rPr>
        <w:t xml:space="preserve"> of Part 3 of Schedule 2 to The Regulations</w:t>
      </w:r>
      <w:r w:rsidR="004F3C5B" w:rsidRPr="00565013">
        <w:rPr>
          <w:rFonts w:asciiTheme="minorHAnsi" w:hAnsiTheme="minorHAnsi" w:cstheme="minorHAnsi"/>
          <w:sz w:val="22"/>
          <w:szCs w:val="22"/>
        </w:rPr>
        <w:t xml:space="preserve"> (</w:t>
      </w:r>
      <w:r w:rsidR="00C45C2A" w:rsidRPr="00565013">
        <w:rPr>
          <w:rFonts w:asciiTheme="minorHAnsi" w:hAnsiTheme="minorHAnsi" w:cstheme="minorHAnsi"/>
          <w:sz w:val="22"/>
          <w:szCs w:val="22"/>
        </w:rPr>
        <w:t>broadly speaking,</w:t>
      </w:r>
      <w:r w:rsidR="004F3C5B" w:rsidRPr="00565013">
        <w:rPr>
          <w:rFonts w:asciiTheme="minorHAnsi" w:hAnsiTheme="minorHAnsi" w:cstheme="minorHAnsi"/>
          <w:sz w:val="22"/>
          <w:szCs w:val="22"/>
        </w:rPr>
        <w:t xml:space="preserve"> most admission bodies other</w:t>
      </w:r>
      <w:r w:rsidR="00C45C2A" w:rsidRPr="00565013">
        <w:rPr>
          <w:rFonts w:asciiTheme="minorHAnsi" w:hAnsiTheme="minorHAnsi" w:cstheme="minorHAnsi"/>
          <w:sz w:val="22"/>
          <w:szCs w:val="22"/>
        </w:rPr>
        <w:t xml:space="preserve"> than </w:t>
      </w:r>
      <w:r w:rsidR="00420247" w:rsidRPr="00565013">
        <w:rPr>
          <w:rFonts w:asciiTheme="minorHAnsi" w:hAnsiTheme="minorHAnsi" w:cstheme="minorHAnsi"/>
          <w:sz w:val="22"/>
          <w:szCs w:val="22"/>
        </w:rPr>
        <w:t xml:space="preserve">those fulfilling a </w:t>
      </w:r>
      <w:r w:rsidR="00C45C2A" w:rsidRPr="00565013">
        <w:rPr>
          <w:rFonts w:asciiTheme="minorHAnsi" w:hAnsiTheme="minorHAnsi" w:cstheme="minorHAnsi"/>
          <w:sz w:val="22"/>
          <w:szCs w:val="22"/>
        </w:rPr>
        <w:t>contract)</w:t>
      </w:r>
      <w:r w:rsidRPr="00565013">
        <w:rPr>
          <w:rFonts w:asciiTheme="minorHAnsi" w:hAnsiTheme="minorHAnsi" w:cstheme="minorHAnsi"/>
          <w:sz w:val="22"/>
          <w:szCs w:val="22"/>
        </w:rPr>
        <w:t xml:space="preserve"> must provide</w:t>
      </w:r>
      <w:r w:rsidR="002B2470" w:rsidRPr="00565013">
        <w:rPr>
          <w:rFonts w:asciiTheme="minorHAnsi" w:hAnsiTheme="minorHAnsi" w:cstheme="minorHAnsi"/>
          <w:sz w:val="22"/>
          <w:szCs w:val="22"/>
        </w:rPr>
        <w:t xml:space="preserve"> a guarantor considered by </w:t>
      </w:r>
      <w:r w:rsidR="00CC700A" w:rsidRPr="00565013">
        <w:rPr>
          <w:rFonts w:asciiTheme="minorHAnsi" w:hAnsiTheme="minorHAnsi" w:cstheme="minorHAnsi"/>
          <w:sz w:val="22"/>
          <w:szCs w:val="22"/>
        </w:rPr>
        <w:t xml:space="preserve">the </w:t>
      </w:r>
      <w:r w:rsidR="00F04430" w:rsidRPr="00565013">
        <w:rPr>
          <w:rFonts w:asciiTheme="minorHAnsi" w:hAnsiTheme="minorHAnsi" w:cstheme="minorHAnsi"/>
          <w:sz w:val="22"/>
          <w:szCs w:val="22"/>
        </w:rPr>
        <w:t xml:space="preserve">Administering Authority </w:t>
      </w:r>
      <w:r w:rsidR="002B2470" w:rsidRPr="00565013">
        <w:rPr>
          <w:rFonts w:asciiTheme="minorHAnsi" w:hAnsiTheme="minorHAnsi" w:cstheme="minorHAnsi"/>
          <w:sz w:val="22"/>
          <w:szCs w:val="22"/>
        </w:rPr>
        <w:t xml:space="preserve">to be </w:t>
      </w:r>
      <w:r w:rsidR="00AE68B9" w:rsidRPr="00565013">
        <w:rPr>
          <w:rFonts w:asciiTheme="minorHAnsi" w:hAnsiTheme="minorHAnsi" w:cstheme="minorHAnsi"/>
          <w:sz w:val="22"/>
          <w:szCs w:val="22"/>
        </w:rPr>
        <w:t>reliable</w:t>
      </w:r>
      <w:r w:rsidR="002B2470" w:rsidRPr="00565013">
        <w:rPr>
          <w:rFonts w:asciiTheme="minorHAnsi" w:hAnsiTheme="minorHAnsi" w:cstheme="minorHAnsi"/>
          <w:sz w:val="22"/>
          <w:szCs w:val="22"/>
        </w:rPr>
        <w:t xml:space="preserve"> and financially durable (generally only a local authority or central government department) or a bond/indemnity the </w:t>
      </w:r>
      <w:r w:rsidR="00F04430" w:rsidRPr="00565013">
        <w:rPr>
          <w:rFonts w:asciiTheme="minorHAnsi" w:hAnsiTheme="minorHAnsi" w:cstheme="minorHAnsi"/>
          <w:sz w:val="22"/>
          <w:szCs w:val="22"/>
        </w:rPr>
        <w:t xml:space="preserve">Administering Authority </w:t>
      </w:r>
      <w:r w:rsidR="002B2470" w:rsidRPr="00565013">
        <w:rPr>
          <w:rFonts w:asciiTheme="minorHAnsi" w:hAnsiTheme="minorHAnsi" w:cstheme="minorHAnsi"/>
          <w:sz w:val="22"/>
          <w:szCs w:val="22"/>
        </w:rPr>
        <w:t>considers to have equivalent strength</w:t>
      </w:r>
      <w:r w:rsidR="00AE68B9" w:rsidRPr="00565013">
        <w:rPr>
          <w:rFonts w:asciiTheme="minorHAnsi" w:hAnsiTheme="minorHAnsi" w:cstheme="minorHAnsi"/>
          <w:sz w:val="22"/>
          <w:szCs w:val="22"/>
        </w:rPr>
        <w:t xml:space="preserve"> and coverage</w:t>
      </w:r>
      <w:r w:rsidR="002B2470" w:rsidRPr="00565013">
        <w:rPr>
          <w:rFonts w:asciiTheme="minorHAnsi" w:hAnsiTheme="minorHAnsi" w:cstheme="minorHAnsi"/>
          <w:sz w:val="22"/>
          <w:szCs w:val="22"/>
        </w:rPr>
        <w:t>.</w:t>
      </w:r>
    </w:p>
    <w:p w14:paraId="2EDA20E1" w14:textId="77777777" w:rsidR="000F4A7C" w:rsidRPr="00565013" w:rsidRDefault="000F4A7C" w:rsidP="00565013">
      <w:pPr>
        <w:ind w:left="1276"/>
        <w:rPr>
          <w:rFonts w:asciiTheme="minorHAnsi" w:hAnsiTheme="minorHAnsi" w:cstheme="minorHAnsi"/>
          <w:sz w:val="22"/>
          <w:szCs w:val="22"/>
        </w:rPr>
      </w:pPr>
    </w:p>
    <w:p w14:paraId="012C2AC3" w14:textId="77777777" w:rsidR="002B2470" w:rsidRPr="00565013" w:rsidRDefault="00846A32" w:rsidP="00565013">
      <w:pPr>
        <w:ind w:left="1276"/>
        <w:rPr>
          <w:rFonts w:asciiTheme="minorHAnsi" w:hAnsiTheme="minorHAnsi" w:cstheme="minorHAnsi"/>
          <w:sz w:val="22"/>
          <w:szCs w:val="22"/>
        </w:rPr>
      </w:pPr>
      <w:r w:rsidRPr="00565013">
        <w:rPr>
          <w:rFonts w:asciiTheme="minorHAnsi" w:hAnsiTheme="minorHAnsi" w:cstheme="minorHAnsi"/>
          <w:sz w:val="22"/>
          <w:szCs w:val="22"/>
        </w:rPr>
        <w:t>For b</w:t>
      </w:r>
      <w:r w:rsidR="00D23589" w:rsidRPr="00565013">
        <w:rPr>
          <w:rFonts w:asciiTheme="minorHAnsi" w:hAnsiTheme="minorHAnsi" w:cstheme="minorHAnsi"/>
          <w:sz w:val="22"/>
          <w:szCs w:val="22"/>
        </w:rPr>
        <w:t xml:space="preserve">odies admitted under </w:t>
      </w:r>
      <w:r w:rsidRPr="00565013">
        <w:rPr>
          <w:rFonts w:asciiTheme="minorHAnsi" w:hAnsiTheme="minorHAnsi" w:cstheme="minorHAnsi"/>
          <w:sz w:val="22"/>
          <w:szCs w:val="22"/>
        </w:rPr>
        <w:t>Paragraph 1(</w:t>
      </w:r>
      <w:r w:rsidR="00907F96" w:rsidRPr="00565013">
        <w:rPr>
          <w:rFonts w:asciiTheme="minorHAnsi" w:hAnsiTheme="minorHAnsi" w:cstheme="minorHAnsi"/>
          <w:sz w:val="22"/>
          <w:szCs w:val="22"/>
        </w:rPr>
        <w:t>d</w:t>
      </w:r>
      <w:r w:rsidRPr="00565013">
        <w:rPr>
          <w:rFonts w:asciiTheme="minorHAnsi" w:hAnsiTheme="minorHAnsi" w:cstheme="minorHAnsi"/>
          <w:sz w:val="22"/>
          <w:szCs w:val="22"/>
        </w:rPr>
        <w:t xml:space="preserve">) of Part 3 of Schedule 2 to The Regulations </w:t>
      </w:r>
      <w:r w:rsidR="00C45C2A" w:rsidRPr="00565013">
        <w:rPr>
          <w:rFonts w:asciiTheme="minorHAnsi" w:hAnsiTheme="minorHAnsi" w:cstheme="minorHAnsi"/>
          <w:sz w:val="22"/>
          <w:szCs w:val="22"/>
        </w:rPr>
        <w:t xml:space="preserve">(broadly speaking, </w:t>
      </w:r>
      <w:r w:rsidR="00FE2A79" w:rsidRPr="00565013">
        <w:rPr>
          <w:rFonts w:asciiTheme="minorHAnsi" w:hAnsiTheme="minorHAnsi" w:cstheme="minorHAnsi"/>
          <w:sz w:val="22"/>
          <w:szCs w:val="22"/>
        </w:rPr>
        <w:t xml:space="preserve">those fulfilling a </w:t>
      </w:r>
      <w:r w:rsidR="00C45C2A" w:rsidRPr="00565013">
        <w:rPr>
          <w:rFonts w:asciiTheme="minorHAnsi" w:hAnsiTheme="minorHAnsi" w:cstheme="minorHAnsi"/>
          <w:sz w:val="22"/>
          <w:szCs w:val="22"/>
        </w:rPr>
        <w:t>contract</w:t>
      </w:r>
      <w:r w:rsidR="00FE2A79" w:rsidRPr="00565013">
        <w:rPr>
          <w:rFonts w:asciiTheme="minorHAnsi" w:hAnsiTheme="minorHAnsi" w:cstheme="minorHAnsi"/>
          <w:sz w:val="22"/>
          <w:szCs w:val="22"/>
        </w:rPr>
        <w:t>, which will sometimes include charities</w:t>
      </w:r>
      <w:r w:rsidR="00C45C2A" w:rsidRPr="00565013">
        <w:rPr>
          <w:rFonts w:asciiTheme="minorHAnsi" w:hAnsiTheme="minorHAnsi" w:cstheme="minorHAnsi"/>
          <w:sz w:val="22"/>
          <w:szCs w:val="22"/>
        </w:rPr>
        <w:t xml:space="preserve">) </w:t>
      </w:r>
      <w:r w:rsidRPr="00565013">
        <w:rPr>
          <w:rFonts w:asciiTheme="minorHAnsi" w:hAnsiTheme="minorHAnsi" w:cstheme="minorHAnsi"/>
          <w:sz w:val="22"/>
          <w:szCs w:val="22"/>
        </w:rPr>
        <w:t xml:space="preserve">there is </w:t>
      </w:r>
      <w:r w:rsidR="002B2470" w:rsidRPr="00565013">
        <w:rPr>
          <w:rFonts w:asciiTheme="minorHAnsi" w:hAnsiTheme="minorHAnsi" w:cstheme="minorHAnsi"/>
          <w:sz w:val="22"/>
          <w:szCs w:val="22"/>
        </w:rPr>
        <w:t xml:space="preserve">a preference for a bond or indemnity to be provided.   This is not a mandatory requirement as the awarding authority is in effect a guarantor already under the terms of the LGPS Regulations.  However, the awarding authority will have to satisfy the administering authority that the form of the guarantee is sufficient to justify the exclusion of a bond or indemnity.  In any case the awarding authority will be required to confirm the approach it wishes to take. </w:t>
      </w:r>
    </w:p>
    <w:p w14:paraId="16713835" w14:textId="77777777" w:rsidR="006C2653" w:rsidRPr="00565013" w:rsidRDefault="006C2653" w:rsidP="00565013">
      <w:pPr>
        <w:ind w:left="1276"/>
        <w:rPr>
          <w:rFonts w:asciiTheme="minorHAnsi" w:hAnsiTheme="minorHAnsi" w:cstheme="minorHAnsi"/>
          <w:sz w:val="22"/>
          <w:szCs w:val="22"/>
        </w:rPr>
      </w:pPr>
    </w:p>
    <w:p w14:paraId="10861A08" w14:textId="7C2E18AB" w:rsidR="002B2470" w:rsidRPr="00565013" w:rsidRDefault="002B2470"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In all circumstances where a bond or indemnity is provided, the bond or indemnity must be re-evaluated </w:t>
      </w:r>
      <w:r w:rsidR="00AE68B9" w:rsidRPr="00565013">
        <w:rPr>
          <w:rFonts w:asciiTheme="minorHAnsi" w:hAnsiTheme="minorHAnsi" w:cstheme="minorHAnsi"/>
          <w:sz w:val="22"/>
          <w:szCs w:val="22"/>
        </w:rPr>
        <w:t xml:space="preserve">by the </w:t>
      </w:r>
      <w:r w:rsidR="00F04430" w:rsidRPr="00565013">
        <w:rPr>
          <w:rFonts w:asciiTheme="minorHAnsi" w:hAnsiTheme="minorHAnsi" w:cstheme="minorHAnsi"/>
          <w:sz w:val="22"/>
          <w:szCs w:val="22"/>
        </w:rPr>
        <w:t>Administering Authority</w:t>
      </w:r>
      <w:r w:rsidR="00F04430" w:rsidRPr="00565013" w:rsidDel="00F04430">
        <w:rPr>
          <w:rFonts w:asciiTheme="minorHAnsi" w:hAnsiTheme="minorHAnsi" w:cstheme="minorHAnsi"/>
          <w:sz w:val="22"/>
          <w:szCs w:val="22"/>
        </w:rPr>
        <w:t xml:space="preserve"> </w:t>
      </w:r>
      <w:r w:rsidRPr="00565013">
        <w:rPr>
          <w:rFonts w:asciiTheme="minorHAnsi" w:hAnsiTheme="minorHAnsi" w:cstheme="minorHAnsi"/>
          <w:sz w:val="22"/>
          <w:szCs w:val="22"/>
        </w:rPr>
        <w:t xml:space="preserve">and renewed </w:t>
      </w:r>
      <w:r w:rsidR="00AE68B9" w:rsidRPr="00565013">
        <w:rPr>
          <w:rFonts w:asciiTheme="minorHAnsi" w:hAnsiTheme="minorHAnsi" w:cstheme="minorHAnsi"/>
          <w:sz w:val="22"/>
          <w:szCs w:val="22"/>
        </w:rPr>
        <w:t xml:space="preserve">by the body </w:t>
      </w:r>
      <w:r w:rsidR="00F429AD" w:rsidRPr="00565013">
        <w:rPr>
          <w:rFonts w:asciiTheme="minorHAnsi" w:hAnsiTheme="minorHAnsi" w:cstheme="minorHAnsi"/>
          <w:sz w:val="22"/>
          <w:szCs w:val="22"/>
        </w:rPr>
        <w:t>at regular intervals.</w:t>
      </w:r>
      <w:r w:rsidRPr="00565013">
        <w:rPr>
          <w:rFonts w:asciiTheme="minorHAnsi" w:hAnsiTheme="minorHAnsi" w:cstheme="minorHAnsi"/>
          <w:sz w:val="22"/>
          <w:szCs w:val="22"/>
        </w:rPr>
        <w:t xml:space="preserve"> </w:t>
      </w:r>
    </w:p>
    <w:p w14:paraId="03A15C8B" w14:textId="77777777" w:rsidR="0086272A" w:rsidRPr="00565013" w:rsidRDefault="0086272A" w:rsidP="00565013">
      <w:pPr>
        <w:ind w:left="1276"/>
        <w:rPr>
          <w:rFonts w:asciiTheme="minorHAnsi" w:hAnsiTheme="minorHAnsi" w:cstheme="minorHAnsi"/>
          <w:sz w:val="22"/>
          <w:szCs w:val="22"/>
        </w:rPr>
      </w:pPr>
    </w:p>
    <w:p w14:paraId="5D31E8CE" w14:textId="1C6CFDF6" w:rsidR="00894290" w:rsidRPr="00191D77" w:rsidRDefault="00F45D1C" w:rsidP="00191D77">
      <w:pPr>
        <w:pStyle w:val="ListParagraph"/>
        <w:numPr>
          <w:ilvl w:val="0"/>
          <w:numId w:val="0"/>
        </w:numPr>
        <w:spacing w:after="180"/>
        <w:ind w:left="1276"/>
        <w:rPr>
          <w:rFonts w:asciiTheme="minorHAnsi" w:hAnsiTheme="minorHAnsi" w:cstheme="minorHAnsi"/>
          <w:color w:val="auto"/>
          <w:szCs w:val="22"/>
          <w:lang w:val="en-US" w:eastAsia="en-US"/>
        </w:rPr>
      </w:pPr>
      <w:r w:rsidRPr="00191D77">
        <w:rPr>
          <w:rFonts w:asciiTheme="minorHAnsi" w:hAnsiTheme="minorHAnsi" w:cstheme="minorHAnsi"/>
          <w:color w:val="auto"/>
          <w:szCs w:val="22"/>
        </w:rPr>
        <w:t xml:space="preserve">The </w:t>
      </w:r>
      <w:r w:rsidR="00F04430" w:rsidRPr="00191D77">
        <w:rPr>
          <w:rFonts w:asciiTheme="minorHAnsi" w:hAnsiTheme="minorHAnsi" w:cstheme="minorHAnsi"/>
          <w:color w:val="auto"/>
          <w:szCs w:val="22"/>
        </w:rPr>
        <w:t>Administering Authority</w:t>
      </w:r>
      <w:r w:rsidR="00F04430" w:rsidRPr="00191D77" w:rsidDel="00F04430">
        <w:rPr>
          <w:rFonts w:asciiTheme="minorHAnsi" w:hAnsiTheme="minorHAnsi" w:cstheme="minorHAnsi"/>
          <w:color w:val="auto"/>
          <w:szCs w:val="22"/>
        </w:rPr>
        <w:t xml:space="preserve"> </w:t>
      </w:r>
      <w:r w:rsidRPr="00191D77">
        <w:rPr>
          <w:rFonts w:asciiTheme="minorHAnsi" w:hAnsiTheme="minorHAnsi" w:cstheme="minorHAnsi"/>
          <w:color w:val="auto"/>
          <w:szCs w:val="22"/>
        </w:rPr>
        <w:t xml:space="preserve">reserves the right to </w:t>
      </w:r>
      <w:r w:rsidR="00FC48B8" w:rsidRPr="00191D77">
        <w:rPr>
          <w:rFonts w:asciiTheme="minorHAnsi" w:hAnsiTheme="minorHAnsi" w:cstheme="minorHAnsi"/>
          <w:color w:val="auto"/>
          <w:szCs w:val="22"/>
        </w:rPr>
        <w:t xml:space="preserve">exercise its discretion and </w:t>
      </w:r>
      <w:r w:rsidR="00376314" w:rsidRPr="00191D77">
        <w:rPr>
          <w:rFonts w:asciiTheme="minorHAnsi" w:hAnsiTheme="minorHAnsi" w:cstheme="minorHAnsi"/>
          <w:color w:val="auto"/>
          <w:szCs w:val="22"/>
        </w:rPr>
        <w:t xml:space="preserve">alter the guarantor or bond requirements </w:t>
      </w:r>
      <w:r w:rsidR="00FC48B8" w:rsidRPr="00191D77">
        <w:rPr>
          <w:rFonts w:asciiTheme="minorHAnsi" w:hAnsiTheme="minorHAnsi" w:cstheme="minorHAnsi"/>
          <w:color w:val="auto"/>
          <w:szCs w:val="22"/>
        </w:rPr>
        <w:t xml:space="preserve">where the individual circumstances of an </w:t>
      </w:r>
      <w:r w:rsidR="00FC48B8" w:rsidRPr="00191D77">
        <w:rPr>
          <w:rFonts w:asciiTheme="minorHAnsi" w:hAnsiTheme="minorHAnsi" w:cstheme="minorHAnsi"/>
          <w:color w:val="auto"/>
          <w:szCs w:val="22"/>
          <w:lang w:val="en-US" w:eastAsia="en-US"/>
        </w:rPr>
        <w:t xml:space="preserve">application make it prudent to do so.  </w:t>
      </w:r>
    </w:p>
    <w:p w14:paraId="5EBD059E" w14:textId="77777777" w:rsidR="006C2653" w:rsidRPr="00191D77" w:rsidRDefault="006C2653" w:rsidP="00191D77">
      <w:pPr>
        <w:pStyle w:val="Heading3Num"/>
        <w:tabs>
          <w:tab w:val="clear" w:pos="2127"/>
          <w:tab w:val="num" w:pos="1276"/>
        </w:tabs>
        <w:ind w:hanging="2127"/>
      </w:pPr>
      <w:bookmarkStart w:id="6" w:name="_Toc80875364"/>
      <w:r w:rsidRPr="00191D77">
        <w:t>Approval for becoming an admission body</w:t>
      </w:r>
      <w:bookmarkEnd w:id="6"/>
      <w:r w:rsidRPr="00191D77">
        <w:t xml:space="preserve"> </w:t>
      </w:r>
    </w:p>
    <w:p w14:paraId="11F41A7E" w14:textId="77777777" w:rsidR="006C2653" w:rsidRPr="00565013" w:rsidRDefault="006C2653"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The officers of the </w:t>
      </w:r>
      <w:r w:rsidR="00EE3B11" w:rsidRPr="00565013">
        <w:rPr>
          <w:rFonts w:asciiTheme="minorHAnsi" w:hAnsiTheme="minorHAnsi" w:cstheme="minorHAnsi"/>
          <w:sz w:val="22"/>
          <w:szCs w:val="22"/>
        </w:rPr>
        <w:t>Fund</w:t>
      </w:r>
      <w:r w:rsidRPr="00565013">
        <w:rPr>
          <w:rFonts w:asciiTheme="minorHAnsi" w:hAnsiTheme="minorHAnsi" w:cstheme="minorHAnsi"/>
          <w:sz w:val="22"/>
          <w:szCs w:val="22"/>
        </w:rPr>
        <w:t xml:space="preserve"> will be responsible for ensuring any bodies meet the criteria set out above, having regard to the appropria</w:t>
      </w:r>
      <w:r w:rsidR="00EE3B11" w:rsidRPr="00565013">
        <w:rPr>
          <w:rFonts w:asciiTheme="minorHAnsi" w:hAnsiTheme="minorHAnsi" w:cstheme="minorHAnsi"/>
          <w:sz w:val="22"/>
          <w:szCs w:val="22"/>
        </w:rPr>
        <w:t>te legal and actuarial advice. The Fund</w:t>
      </w:r>
      <w:r w:rsidR="00437C51" w:rsidRPr="00565013">
        <w:rPr>
          <w:rFonts w:asciiTheme="minorHAnsi" w:hAnsiTheme="minorHAnsi" w:cstheme="minorHAnsi"/>
          <w:sz w:val="22"/>
          <w:szCs w:val="22"/>
        </w:rPr>
        <w:t>’s</w:t>
      </w:r>
      <w:r w:rsidRPr="00565013">
        <w:rPr>
          <w:rFonts w:asciiTheme="minorHAnsi" w:hAnsiTheme="minorHAnsi" w:cstheme="minorHAnsi"/>
          <w:sz w:val="22"/>
          <w:szCs w:val="22"/>
        </w:rPr>
        <w:t xml:space="preserve"> admission agreements will generally be standard and non-negotiable, drawn up on advice from the </w:t>
      </w:r>
      <w:r w:rsidR="00EE3B11" w:rsidRPr="00565013">
        <w:rPr>
          <w:rFonts w:asciiTheme="minorHAnsi" w:hAnsiTheme="minorHAnsi" w:cstheme="minorHAnsi"/>
          <w:sz w:val="22"/>
          <w:szCs w:val="22"/>
        </w:rPr>
        <w:t>Fund</w:t>
      </w:r>
      <w:r w:rsidRPr="00565013">
        <w:rPr>
          <w:rFonts w:asciiTheme="minorHAnsi" w:hAnsiTheme="minorHAnsi" w:cstheme="minorHAnsi"/>
          <w:sz w:val="22"/>
          <w:szCs w:val="22"/>
        </w:rPr>
        <w:t xml:space="preserve"> actuary and legal advisor.  These terms will include commencement, transfer, payment, bond/indemnity or guarantor requirements, as well as termination clauses to protect the other beneficiaries and participants in the </w:t>
      </w:r>
      <w:r w:rsidR="00EE3B11" w:rsidRPr="00565013">
        <w:rPr>
          <w:rFonts w:asciiTheme="minorHAnsi" w:hAnsiTheme="minorHAnsi" w:cstheme="minorHAnsi"/>
          <w:sz w:val="22"/>
          <w:szCs w:val="22"/>
        </w:rPr>
        <w:t>Fund</w:t>
      </w:r>
      <w:r w:rsidRPr="00565013">
        <w:rPr>
          <w:rFonts w:asciiTheme="minorHAnsi" w:hAnsiTheme="minorHAnsi" w:cstheme="minorHAnsi"/>
          <w:sz w:val="22"/>
          <w:szCs w:val="22"/>
        </w:rPr>
        <w:t>.</w:t>
      </w:r>
    </w:p>
    <w:p w14:paraId="5CA9145C" w14:textId="77777777" w:rsidR="006C2653" w:rsidRPr="00565013" w:rsidRDefault="006C2653" w:rsidP="00565013">
      <w:pPr>
        <w:ind w:left="1276"/>
        <w:rPr>
          <w:rFonts w:asciiTheme="minorHAnsi" w:hAnsiTheme="minorHAnsi" w:cstheme="minorHAnsi"/>
          <w:sz w:val="22"/>
          <w:szCs w:val="22"/>
        </w:rPr>
      </w:pPr>
    </w:p>
    <w:p w14:paraId="5D7EFD4A" w14:textId="77777777" w:rsidR="006C2653" w:rsidRPr="00565013" w:rsidRDefault="006C2653" w:rsidP="00565013">
      <w:pPr>
        <w:ind w:left="1276"/>
        <w:rPr>
          <w:rFonts w:asciiTheme="minorHAnsi" w:hAnsiTheme="minorHAnsi" w:cstheme="minorHAnsi"/>
          <w:sz w:val="22"/>
          <w:szCs w:val="22"/>
        </w:rPr>
      </w:pPr>
      <w:r w:rsidRPr="00565013">
        <w:rPr>
          <w:rFonts w:asciiTheme="minorHAnsi" w:hAnsiTheme="minorHAnsi" w:cstheme="minorHAnsi"/>
          <w:sz w:val="22"/>
          <w:szCs w:val="22"/>
        </w:rPr>
        <w:t xml:space="preserve">All applications by bodies assessed by officers as complying with Paragraph 1(d) of Part 3 of Schedule 2 to The Regulations </w:t>
      </w:r>
      <w:r w:rsidR="00076EEE" w:rsidRPr="00565013">
        <w:rPr>
          <w:rFonts w:asciiTheme="minorHAnsi" w:hAnsiTheme="minorHAnsi" w:cstheme="minorHAnsi"/>
          <w:sz w:val="22"/>
          <w:szCs w:val="22"/>
        </w:rPr>
        <w:t>(broadly speaking, admissions</w:t>
      </w:r>
      <w:r w:rsidR="003A7F94" w:rsidRPr="00565013">
        <w:rPr>
          <w:rFonts w:asciiTheme="minorHAnsi" w:hAnsiTheme="minorHAnsi" w:cstheme="minorHAnsi"/>
          <w:sz w:val="22"/>
          <w:szCs w:val="22"/>
        </w:rPr>
        <w:t xml:space="preserve"> to those fulfilling a contract</w:t>
      </w:r>
      <w:r w:rsidR="00076EEE" w:rsidRPr="00565013">
        <w:rPr>
          <w:rFonts w:asciiTheme="minorHAnsi" w:hAnsiTheme="minorHAnsi" w:cstheme="minorHAnsi"/>
          <w:sz w:val="22"/>
          <w:szCs w:val="22"/>
        </w:rPr>
        <w:t>)</w:t>
      </w:r>
      <w:r w:rsidR="00A77407" w:rsidRPr="00565013">
        <w:rPr>
          <w:rFonts w:asciiTheme="minorHAnsi" w:hAnsiTheme="minorHAnsi" w:cstheme="minorHAnsi"/>
          <w:sz w:val="22"/>
          <w:szCs w:val="22"/>
        </w:rPr>
        <w:t>,</w:t>
      </w:r>
      <w:r w:rsidR="00076EEE" w:rsidRPr="00565013">
        <w:rPr>
          <w:rFonts w:asciiTheme="minorHAnsi" w:hAnsiTheme="minorHAnsi" w:cstheme="minorHAnsi"/>
          <w:sz w:val="22"/>
          <w:szCs w:val="22"/>
        </w:rPr>
        <w:t xml:space="preserve"> </w:t>
      </w:r>
      <w:r w:rsidRPr="00565013">
        <w:rPr>
          <w:rFonts w:asciiTheme="minorHAnsi" w:hAnsiTheme="minorHAnsi" w:cstheme="minorHAnsi"/>
          <w:sz w:val="22"/>
          <w:szCs w:val="22"/>
        </w:rPr>
        <w:t>and meeting the terms of the admission agreement</w:t>
      </w:r>
      <w:r w:rsidR="00A77407" w:rsidRPr="00565013">
        <w:rPr>
          <w:rFonts w:asciiTheme="minorHAnsi" w:hAnsiTheme="minorHAnsi" w:cstheme="minorHAnsi"/>
          <w:sz w:val="22"/>
          <w:szCs w:val="22"/>
        </w:rPr>
        <w:t>,</w:t>
      </w:r>
      <w:r w:rsidRPr="00565013">
        <w:rPr>
          <w:rFonts w:asciiTheme="minorHAnsi" w:hAnsiTheme="minorHAnsi" w:cstheme="minorHAnsi"/>
          <w:sz w:val="22"/>
          <w:szCs w:val="22"/>
        </w:rPr>
        <w:t xml:space="preserve"> will be accepted and reported to the </w:t>
      </w:r>
      <w:r w:rsidR="00EE3B11" w:rsidRPr="00565013">
        <w:rPr>
          <w:rFonts w:asciiTheme="minorHAnsi" w:hAnsiTheme="minorHAnsi" w:cstheme="minorHAnsi"/>
          <w:sz w:val="22"/>
          <w:szCs w:val="22"/>
        </w:rPr>
        <w:t>Pension Fund</w:t>
      </w:r>
      <w:r w:rsidRPr="00565013">
        <w:rPr>
          <w:rFonts w:asciiTheme="minorHAnsi" w:hAnsiTheme="minorHAnsi" w:cstheme="minorHAnsi"/>
          <w:sz w:val="22"/>
          <w:szCs w:val="22"/>
        </w:rPr>
        <w:t xml:space="preserve"> Committee for information only. Applications that materially depart from these criteria and/or the standard terms of the admission agreement will be reported to the </w:t>
      </w:r>
      <w:r w:rsidR="00EE3B11" w:rsidRPr="00565013">
        <w:rPr>
          <w:rFonts w:asciiTheme="minorHAnsi" w:hAnsiTheme="minorHAnsi" w:cstheme="minorHAnsi"/>
          <w:sz w:val="22"/>
          <w:szCs w:val="22"/>
        </w:rPr>
        <w:t xml:space="preserve">Pension Fund </w:t>
      </w:r>
      <w:r w:rsidRPr="00565013">
        <w:rPr>
          <w:rFonts w:asciiTheme="minorHAnsi" w:hAnsiTheme="minorHAnsi" w:cstheme="minorHAnsi"/>
          <w:sz w:val="22"/>
          <w:szCs w:val="22"/>
        </w:rPr>
        <w:t>Committee for agreement, and may be refused.</w:t>
      </w:r>
    </w:p>
    <w:p w14:paraId="6BC7E0FD" w14:textId="77777777" w:rsidR="006C2653" w:rsidRPr="00565013" w:rsidRDefault="006C2653" w:rsidP="00565013">
      <w:pPr>
        <w:ind w:left="1276"/>
        <w:rPr>
          <w:rFonts w:asciiTheme="minorHAnsi" w:hAnsiTheme="minorHAnsi" w:cstheme="minorHAnsi"/>
          <w:sz w:val="22"/>
          <w:szCs w:val="22"/>
        </w:rPr>
      </w:pPr>
    </w:p>
    <w:p w14:paraId="6E0F3355" w14:textId="0E37A6A5" w:rsidR="006C2653" w:rsidRPr="00A705D8" w:rsidRDefault="006C2653" w:rsidP="00A705D8">
      <w:pPr>
        <w:pStyle w:val="ListParagraph"/>
        <w:numPr>
          <w:ilvl w:val="0"/>
          <w:numId w:val="0"/>
        </w:numPr>
        <w:spacing w:after="180"/>
        <w:ind w:left="1276"/>
        <w:rPr>
          <w:rFonts w:asciiTheme="minorHAnsi" w:hAnsiTheme="minorHAnsi" w:cstheme="minorHAnsi"/>
          <w:color w:val="auto"/>
          <w:szCs w:val="22"/>
          <w:lang w:val="en-US" w:eastAsia="en-US"/>
        </w:rPr>
      </w:pPr>
      <w:r w:rsidRPr="00A705D8">
        <w:rPr>
          <w:rFonts w:asciiTheme="minorHAnsi" w:hAnsiTheme="minorHAnsi" w:cstheme="minorHAnsi"/>
          <w:color w:val="auto"/>
          <w:szCs w:val="22"/>
          <w:lang w:val="en-US" w:eastAsia="en-US"/>
        </w:rPr>
        <w:t>All applications from bodies under Paragraphs 1(a)</w:t>
      </w:r>
      <w:r w:rsidR="00A77407" w:rsidRPr="00A705D8">
        <w:rPr>
          <w:rFonts w:asciiTheme="minorHAnsi" w:hAnsiTheme="minorHAnsi" w:cstheme="minorHAnsi"/>
          <w:color w:val="auto"/>
          <w:szCs w:val="22"/>
          <w:lang w:val="en-US" w:eastAsia="en-US"/>
        </w:rPr>
        <w:t>, (b</w:t>
      </w:r>
      <w:r w:rsidR="000D3000" w:rsidRPr="00A705D8">
        <w:rPr>
          <w:rFonts w:asciiTheme="minorHAnsi" w:hAnsiTheme="minorHAnsi" w:cstheme="minorHAnsi"/>
          <w:color w:val="auto"/>
          <w:szCs w:val="22"/>
          <w:lang w:val="en-US" w:eastAsia="en-US"/>
        </w:rPr>
        <w:t>), (</w:t>
      </w:r>
      <w:r w:rsidRPr="00A705D8">
        <w:rPr>
          <w:rFonts w:asciiTheme="minorHAnsi" w:hAnsiTheme="minorHAnsi" w:cstheme="minorHAnsi"/>
          <w:color w:val="auto"/>
          <w:szCs w:val="22"/>
          <w:lang w:val="en-US" w:eastAsia="en-US"/>
        </w:rPr>
        <w:t xml:space="preserve">c) and (e) of Part 3 of Schedule 2 to The Regulations </w:t>
      </w:r>
      <w:r w:rsidR="00A82F4A" w:rsidRPr="00A705D8">
        <w:rPr>
          <w:rFonts w:asciiTheme="minorHAnsi" w:hAnsiTheme="minorHAnsi" w:cstheme="minorHAnsi"/>
          <w:color w:val="auto"/>
          <w:szCs w:val="22"/>
          <w:lang w:val="en-US" w:eastAsia="en-US"/>
        </w:rPr>
        <w:t xml:space="preserve">(broadly speaking, most admission bodies other than </w:t>
      </w:r>
      <w:r w:rsidR="003A7F94" w:rsidRPr="00A705D8">
        <w:rPr>
          <w:rFonts w:asciiTheme="minorHAnsi" w:hAnsiTheme="minorHAnsi" w:cstheme="minorHAnsi"/>
          <w:color w:val="auto"/>
          <w:szCs w:val="22"/>
          <w:lang w:val="en-US" w:eastAsia="en-US"/>
        </w:rPr>
        <w:t xml:space="preserve">those fulfilling a </w:t>
      </w:r>
      <w:r w:rsidR="00A82F4A" w:rsidRPr="00A705D8">
        <w:rPr>
          <w:rFonts w:asciiTheme="minorHAnsi" w:hAnsiTheme="minorHAnsi" w:cstheme="minorHAnsi"/>
          <w:color w:val="auto"/>
          <w:szCs w:val="22"/>
          <w:lang w:val="en-US" w:eastAsia="en-US"/>
        </w:rPr>
        <w:t xml:space="preserve">contract) </w:t>
      </w:r>
      <w:r w:rsidRPr="00A705D8">
        <w:rPr>
          <w:rFonts w:asciiTheme="minorHAnsi" w:hAnsiTheme="minorHAnsi" w:cstheme="minorHAnsi"/>
          <w:color w:val="auto"/>
          <w:szCs w:val="22"/>
          <w:lang w:val="en-US" w:eastAsia="en-US"/>
        </w:rPr>
        <w:t xml:space="preserve">will be </w:t>
      </w:r>
      <w:r w:rsidR="00CC700A" w:rsidRPr="00A705D8">
        <w:rPr>
          <w:rFonts w:asciiTheme="minorHAnsi" w:hAnsiTheme="minorHAnsi" w:cstheme="minorHAnsi"/>
          <w:color w:val="auto"/>
          <w:szCs w:val="22"/>
          <w:lang w:val="en-US" w:eastAsia="en-US"/>
        </w:rPr>
        <w:t xml:space="preserve">subject to agreement by the </w:t>
      </w:r>
      <w:r w:rsidR="00EE3B11" w:rsidRPr="00A705D8">
        <w:rPr>
          <w:rFonts w:asciiTheme="minorHAnsi" w:hAnsiTheme="minorHAnsi" w:cstheme="minorHAnsi"/>
          <w:color w:val="auto"/>
          <w:szCs w:val="22"/>
          <w:lang w:val="en-US" w:eastAsia="en-US"/>
        </w:rPr>
        <w:t xml:space="preserve">Pension Fund </w:t>
      </w:r>
      <w:r w:rsidRPr="00A705D8">
        <w:rPr>
          <w:rFonts w:asciiTheme="minorHAnsi" w:hAnsiTheme="minorHAnsi" w:cstheme="minorHAnsi"/>
          <w:color w:val="auto"/>
          <w:szCs w:val="22"/>
          <w:lang w:val="en-US" w:eastAsia="en-US"/>
        </w:rPr>
        <w:t>Committee.</w:t>
      </w:r>
    </w:p>
    <w:p w14:paraId="385B11F0" w14:textId="0493AD55" w:rsidR="009F6F93" w:rsidRPr="00A705D8" w:rsidRDefault="00A5643B" w:rsidP="00A705D8">
      <w:pPr>
        <w:pStyle w:val="Heading3Num"/>
        <w:tabs>
          <w:tab w:val="clear" w:pos="2127"/>
          <w:tab w:val="num" w:pos="1276"/>
        </w:tabs>
        <w:ind w:hanging="2127"/>
      </w:pPr>
      <w:bookmarkStart w:id="7" w:name="_Toc80875365"/>
      <w:r w:rsidRPr="00A705D8">
        <w:t>Allocation of assets</w:t>
      </w:r>
      <w:bookmarkEnd w:id="7"/>
    </w:p>
    <w:p w14:paraId="18CC04EC" w14:textId="6A53175E" w:rsidR="009F6F93" w:rsidRDefault="009F6F93" w:rsidP="003C583F">
      <w:pPr>
        <w:ind w:left="1276"/>
        <w:rPr>
          <w:rFonts w:asciiTheme="minorHAnsi" w:hAnsiTheme="minorHAnsi" w:cstheme="minorHAnsi"/>
          <w:sz w:val="22"/>
          <w:szCs w:val="22"/>
        </w:rPr>
      </w:pPr>
      <w:r w:rsidRPr="003C583F">
        <w:rPr>
          <w:rFonts w:asciiTheme="minorHAnsi" w:hAnsiTheme="minorHAnsi" w:cstheme="minorHAnsi"/>
          <w:sz w:val="22"/>
          <w:szCs w:val="22"/>
        </w:rPr>
        <w:t>The allocation of assets at the commencement of an admission agreement will be as follows:</w:t>
      </w:r>
    </w:p>
    <w:p w14:paraId="10B46E22" w14:textId="77777777" w:rsidR="003C583F" w:rsidRPr="003C583F" w:rsidRDefault="003C583F" w:rsidP="003C583F">
      <w:pPr>
        <w:ind w:left="1276"/>
        <w:rPr>
          <w:rFonts w:asciiTheme="minorHAnsi" w:hAnsiTheme="minorHAnsi" w:cstheme="minorHAnsi"/>
          <w:sz w:val="22"/>
          <w:szCs w:val="22"/>
        </w:rPr>
      </w:pPr>
    </w:p>
    <w:p w14:paraId="65E59851" w14:textId="2D3C939E" w:rsidR="009F6F93" w:rsidRPr="00A705D8" w:rsidRDefault="004C555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3C583F">
        <w:rPr>
          <w:rFonts w:asciiTheme="minorHAnsi" w:hAnsiTheme="minorHAnsi" w:cstheme="minorHAnsi"/>
          <w:color w:val="000000" w:themeColor="text1"/>
          <w:szCs w:val="22"/>
        </w:rPr>
        <w:t>For b</w:t>
      </w:r>
      <w:r w:rsidR="00A5643B" w:rsidRPr="003C583F">
        <w:rPr>
          <w:rFonts w:asciiTheme="minorHAnsi" w:hAnsiTheme="minorHAnsi" w:cstheme="minorHAnsi"/>
          <w:color w:val="000000" w:themeColor="text1"/>
          <w:szCs w:val="22"/>
        </w:rPr>
        <w:t>odies admitted under Paragraph 1(</w:t>
      </w:r>
      <w:r w:rsidR="00907F96" w:rsidRPr="003C583F">
        <w:rPr>
          <w:rFonts w:asciiTheme="minorHAnsi" w:hAnsiTheme="minorHAnsi" w:cstheme="minorHAnsi"/>
          <w:color w:val="000000" w:themeColor="text1"/>
          <w:szCs w:val="22"/>
        </w:rPr>
        <w:t>d</w:t>
      </w:r>
      <w:r w:rsidR="00A5643B" w:rsidRPr="003C583F">
        <w:rPr>
          <w:rFonts w:asciiTheme="minorHAnsi" w:hAnsiTheme="minorHAnsi" w:cstheme="minorHAnsi"/>
          <w:color w:val="000000" w:themeColor="text1"/>
          <w:szCs w:val="22"/>
        </w:rPr>
        <w:t xml:space="preserve">) of Part 3 of Schedule 2 to The Regulations </w:t>
      </w:r>
      <w:r w:rsidR="003A5D82" w:rsidRPr="003C583F">
        <w:rPr>
          <w:rFonts w:asciiTheme="minorHAnsi" w:hAnsiTheme="minorHAnsi" w:cstheme="minorHAnsi"/>
          <w:color w:val="000000" w:themeColor="text1"/>
          <w:szCs w:val="22"/>
        </w:rPr>
        <w:t xml:space="preserve">(broadly speaking, </w:t>
      </w:r>
      <w:r w:rsidR="003A7F94" w:rsidRPr="003C583F">
        <w:rPr>
          <w:rFonts w:asciiTheme="minorHAnsi" w:hAnsiTheme="minorHAnsi" w:cstheme="minorHAnsi"/>
          <w:color w:val="000000" w:themeColor="text1"/>
          <w:szCs w:val="22"/>
        </w:rPr>
        <w:t xml:space="preserve">those fulfilling a </w:t>
      </w:r>
      <w:r w:rsidR="003A5D82" w:rsidRPr="003C583F">
        <w:rPr>
          <w:rFonts w:asciiTheme="minorHAnsi" w:hAnsiTheme="minorHAnsi" w:cstheme="minorHAnsi"/>
          <w:color w:val="000000" w:themeColor="text1"/>
          <w:szCs w:val="22"/>
        </w:rPr>
        <w:t xml:space="preserve">contract) </w:t>
      </w:r>
      <w:r w:rsidRPr="003C583F">
        <w:rPr>
          <w:rFonts w:asciiTheme="minorHAnsi" w:hAnsiTheme="minorHAnsi" w:cstheme="minorHAnsi"/>
          <w:color w:val="000000" w:themeColor="text1"/>
          <w:szCs w:val="22"/>
        </w:rPr>
        <w:t xml:space="preserve">the assets allocated will be 100% </w:t>
      </w:r>
      <w:r w:rsidR="009F6F93" w:rsidRPr="003C583F">
        <w:rPr>
          <w:rFonts w:asciiTheme="minorHAnsi" w:hAnsiTheme="minorHAnsi" w:cstheme="minorHAnsi"/>
          <w:color w:val="000000" w:themeColor="text1"/>
          <w:szCs w:val="22"/>
        </w:rPr>
        <w:t xml:space="preserve">of the value </w:t>
      </w:r>
      <w:r w:rsidR="00D9134E" w:rsidRPr="003C583F">
        <w:rPr>
          <w:rFonts w:asciiTheme="minorHAnsi" w:hAnsiTheme="minorHAnsi" w:cstheme="minorHAnsi"/>
          <w:color w:val="000000" w:themeColor="text1"/>
          <w:szCs w:val="22"/>
        </w:rPr>
        <w:t xml:space="preserve">at date of admission </w:t>
      </w:r>
      <w:r w:rsidR="009F6F93" w:rsidRPr="003C583F">
        <w:rPr>
          <w:rFonts w:asciiTheme="minorHAnsi" w:hAnsiTheme="minorHAnsi" w:cstheme="minorHAnsi"/>
          <w:color w:val="000000" w:themeColor="text1"/>
          <w:szCs w:val="22"/>
        </w:rPr>
        <w:t>of the past service liabilities of any transferring employees;</w:t>
      </w:r>
      <w:r w:rsidR="00AE68B9" w:rsidRPr="00A705D8">
        <w:rPr>
          <w:rFonts w:asciiTheme="minorHAnsi" w:hAnsiTheme="minorHAnsi" w:cstheme="minorHAnsi"/>
          <w:color w:val="000000" w:themeColor="text1"/>
          <w:szCs w:val="22"/>
        </w:rPr>
        <w:br/>
      </w:r>
      <w:r w:rsidR="00836C4B" w:rsidRPr="00A705D8">
        <w:rPr>
          <w:rFonts w:asciiTheme="minorHAnsi" w:hAnsiTheme="minorHAnsi" w:cstheme="minorHAnsi"/>
          <w:color w:val="000000" w:themeColor="text1"/>
          <w:szCs w:val="22"/>
        </w:rPr>
        <w:t>(</w:t>
      </w:r>
      <w:r w:rsidR="00AE68B9" w:rsidRPr="00A705D8">
        <w:rPr>
          <w:rFonts w:asciiTheme="minorHAnsi" w:hAnsiTheme="minorHAnsi" w:cstheme="minorHAnsi"/>
          <w:color w:val="000000" w:themeColor="text1"/>
          <w:szCs w:val="22"/>
        </w:rPr>
        <w:t xml:space="preserve">Any alternative approach proposed by the awarding authority is subject to agreement by the </w:t>
      </w:r>
      <w:r w:rsidR="00EE3B11" w:rsidRPr="00A705D8">
        <w:rPr>
          <w:rFonts w:asciiTheme="minorHAnsi" w:hAnsiTheme="minorHAnsi" w:cstheme="minorHAnsi"/>
          <w:color w:val="000000" w:themeColor="text1"/>
          <w:szCs w:val="22"/>
        </w:rPr>
        <w:t>Fund</w:t>
      </w:r>
      <w:r w:rsidR="00836C4B" w:rsidRPr="00A705D8">
        <w:rPr>
          <w:rFonts w:asciiTheme="minorHAnsi" w:hAnsiTheme="minorHAnsi" w:cstheme="minorHAnsi"/>
          <w:color w:val="000000" w:themeColor="text1"/>
          <w:szCs w:val="22"/>
        </w:rPr>
        <w:t>)</w:t>
      </w:r>
    </w:p>
    <w:p w14:paraId="160DFD25" w14:textId="4D6ADCBE" w:rsidR="006C2653" w:rsidRPr="00A705D8" w:rsidRDefault="004C555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A705D8">
        <w:rPr>
          <w:rFonts w:asciiTheme="minorHAnsi" w:hAnsiTheme="minorHAnsi" w:cstheme="minorHAnsi"/>
          <w:color w:val="000000" w:themeColor="text1"/>
          <w:szCs w:val="22"/>
        </w:rPr>
        <w:t xml:space="preserve">For bodies admitted under Paragraphs 1(a) </w:t>
      </w:r>
      <w:r w:rsidR="00873367" w:rsidRPr="00A705D8">
        <w:rPr>
          <w:rFonts w:asciiTheme="minorHAnsi" w:hAnsiTheme="minorHAnsi" w:cstheme="minorHAnsi"/>
          <w:color w:val="000000" w:themeColor="text1"/>
          <w:szCs w:val="22"/>
        </w:rPr>
        <w:t xml:space="preserve">(b), </w:t>
      </w:r>
      <w:r w:rsidRPr="00A705D8">
        <w:rPr>
          <w:rFonts w:asciiTheme="minorHAnsi" w:hAnsiTheme="minorHAnsi" w:cstheme="minorHAnsi"/>
          <w:color w:val="000000" w:themeColor="text1"/>
          <w:szCs w:val="22"/>
        </w:rPr>
        <w:t xml:space="preserve">(c) and (e) of Part 3 of Schedule 2 to The Regulations </w:t>
      </w:r>
      <w:r w:rsidR="00D9134E" w:rsidRPr="00A705D8">
        <w:rPr>
          <w:rFonts w:asciiTheme="minorHAnsi" w:hAnsiTheme="minorHAnsi" w:cstheme="minorHAnsi"/>
          <w:color w:val="000000" w:themeColor="text1"/>
          <w:szCs w:val="22"/>
        </w:rPr>
        <w:t xml:space="preserve">(broadly speaking, admission bodies other than </w:t>
      </w:r>
      <w:r w:rsidR="00640285" w:rsidRPr="00F37FAC">
        <w:rPr>
          <w:rFonts w:asciiTheme="minorHAnsi" w:hAnsiTheme="minorHAnsi" w:cstheme="minorHAnsi"/>
          <w:color w:val="000000" w:themeColor="text1"/>
          <w:szCs w:val="22"/>
        </w:rPr>
        <w:t xml:space="preserve">those fulfilling a </w:t>
      </w:r>
      <w:r w:rsidR="00D9134E" w:rsidRPr="00A705D8">
        <w:rPr>
          <w:rFonts w:asciiTheme="minorHAnsi" w:hAnsiTheme="minorHAnsi" w:cstheme="minorHAnsi"/>
          <w:color w:val="000000" w:themeColor="text1"/>
          <w:szCs w:val="22"/>
        </w:rPr>
        <w:t xml:space="preserve">contract) </w:t>
      </w:r>
      <w:r w:rsidRPr="00A705D8">
        <w:rPr>
          <w:rFonts w:asciiTheme="minorHAnsi" w:hAnsiTheme="minorHAnsi" w:cstheme="minorHAnsi"/>
          <w:color w:val="000000" w:themeColor="text1"/>
          <w:szCs w:val="22"/>
        </w:rPr>
        <w:t xml:space="preserve">the asset allocation will </w:t>
      </w:r>
      <w:r w:rsidR="009F6F93" w:rsidRPr="00A705D8">
        <w:rPr>
          <w:rFonts w:asciiTheme="minorHAnsi" w:hAnsiTheme="minorHAnsi" w:cstheme="minorHAnsi"/>
          <w:color w:val="000000" w:themeColor="text1"/>
          <w:szCs w:val="22"/>
        </w:rPr>
        <w:t>be agreed in each individual case depending on the circumstances of the case, taking into consideration the views of any transferring employer</w:t>
      </w:r>
      <w:r w:rsidR="00EF738B" w:rsidRPr="00A705D8">
        <w:rPr>
          <w:rFonts w:asciiTheme="minorHAnsi" w:hAnsiTheme="minorHAnsi" w:cstheme="minorHAnsi"/>
          <w:color w:val="000000" w:themeColor="text1"/>
          <w:szCs w:val="22"/>
        </w:rPr>
        <w:t xml:space="preserve"> and any relevant business agreement</w:t>
      </w:r>
      <w:r w:rsidR="009F6F93" w:rsidRPr="00A705D8">
        <w:rPr>
          <w:rFonts w:asciiTheme="minorHAnsi" w:hAnsiTheme="minorHAnsi" w:cstheme="minorHAnsi"/>
          <w:color w:val="000000" w:themeColor="text1"/>
          <w:szCs w:val="22"/>
        </w:rPr>
        <w:t>.</w:t>
      </w:r>
    </w:p>
    <w:p w14:paraId="31B54271" w14:textId="77777777" w:rsidR="006C2653" w:rsidRPr="00F37FAC"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 xml:space="preserve">In both cases, the assets will be calculated using the </w:t>
      </w:r>
      <w:r w:rsidR="00CC700A" w:rsidRPr="00F37FAC">
        <w:rPr>
          <w:rFonts w:asciiTheme="minorHAnsi" w:hAnsiTheme="minorHAnsi" w:cstheme="minorHAnsi"/>
          <w:color w:val="000000" w:themeColor="text1"/>
          <w:szCs w:val="22"/>
        </w:rPr>
        <w:t>F</w:t>
      </w:r>
      <w:r w:rsidR="00EE3B11" w:rsidRPr="00F37FAC">
        <w:rPr>
          <w:rFonts w:asciiTheme="minorHAnsi" w:hAnsiTheme="minorHAnsi" w:cstheme="minorHAnsi"/>
          <w:color w:val="000000" w:themeColor="text1"/>
          <w:szCs w:val="22"/>
        </w:rPr>
        <w:t>und</w:t>
      </w:r>
      <w:r w:rsidR="004C555B" w:rsidRPr="00F37FAC">
        <w:rPr>
          <w:rFonts w:asciiTheme="minorHAnsi" w:hAnsiTheme="minorHAnsi" w:cstheme="minorHAnsi"/>
          <w:color w:val="000000" w:themeColor="text1"/>
          <w:szCs w:val="22"/>
        </w:rPr>
        <w:t>’s</w:t>
      </w:r>
      <w:r w:rsidRPr="00F37FAC">
        <w:rPr>
          <w:rFonts w:asciiTheme="minorHAnsi" w:hAnsiTheme="minorHAnsi" w:cstheme="minorHAnsi"/>
          <w:color w:val="000000" w:themeColor="text1"/>
          <w:szCs w:val="22"/>
        </w:rPr>
        <w:t xml:space="preserve"> ongoing funding basis as set out in the Funding Strategy Statement.</w:t>
      </w:r>
      <w:r w:rsidR="006C2653" w:rsidRPr="00F37FAC">
        <w:rPr>
          <w:rFonts w:asciiTheme="minorHAnsi" w:hAnsiTheme="minorHAnsi" w:cstheme="minorHAnsi"/>
          <w:color w:val="000000" w:themeColor="text1"/>
          <w:szCs w:val="22"/>
        </w:rPr>
        <w:t xml:space="preserve"> </w:t>
      </w:r>
    </w:p>
    <w:p w14:paraId="11C2C644" w14:textId="39B40C0E" w:rsidR="006C2653" w:rsidRPr="00F37FAC" w:rsidRDefault="006D332D"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 xml:space="preserve">The </w:t>
      </w:r>
      <w:r w:rsidR="00BE6D19" w:rsidRPr="00F37FAC">
        <w:rPr>
          <w:rFonts w:asciiTheme="minorHAnsi" w:hAnsiTheme="minorHAnsi" w:cstheme="minorHAnsi"/>
          <w:color w:val="000000" w:themeColor="text1"/>
          <w:szCs w:val="22"/>
        </w:rPr>
        <w:t xml:space="preserve">respective admission body’s </w:t>
      </w:r>
      <w:r w:rsidRPr="00F37FAC">
        <w:rPr>
          <w:rFonts w:asciiTheme="minorHAnsi" w:hAnsiTheme="minorHAnsi" w:cstheme="minorHAnsi"/>
          <w:color w:val="000000" w:themeColor="text1"/>
          <w:szCs w:val="22"/>
        </w:rPr>
        <w:t xml:space="preserve">asset share will be tracked on a monthly basis during the period of the admission agreement, allowing for </w:t>
      </w:r>
      <w:r w:rsidR="000D3000" w:rsidRPr="00F37FAC">
        <w:rPr>
          <w:rFonts w:asciiTheme="minorHAnsi" w:hAnsiTheme="minorHAnsi" w:cstheme="minorHAnsi"/>
          <w:color w:val="000000" w:themeColor="text1"/>
          <w:szCs w:val="22"/>
        </w:rPr>
        <w:t>cash flows</w:t>
      </w:r>
      <w:r w:rsidRPr="00F37FAC">
        <w:rPr>
          <w:rFonts w:asciiTheme="minorHAnsi" w:hAnsiTheme="minorHAnsi" w:cstheme="minorHAnsi"/>
          <w:color w:val="000000" w:themeColor="text1"/>
          <w:szCs w:val="22"/>
        </w:rPr>
        <w:t xml:space="preserve"> in</w:t>
      </w:r>
      <w:r w:rsidR="00347176" w:rsidRPr="00F37FAC">
        <w:rPr>
          <w:rFonts w:asciiTheme="minorHAnsi" w:hAnsiTheme="minorHAnsi" w:cstheme="minorHAnsi"/>
          <w:color w:val="000000" w:themeColor="text1"/>
          <w:szCs w:val="22"/>
        </w:rPr>
        <w:t>/out</w:t>
      </w:r>
      <w:r w:rsidRPr="00F37FAC">
        <w:rPr>
          <w:rFonts w:asciiTheme="minorHAnsi" w:hAnsiTheme="minorHAnsi" w:cstheme="minorHAnsi"/>
          <w:color w:val="000000" w:themeColor="text1"/>
          <w:szCs w:val="22"/>
        </w:rPr>
        <w:t xml:space="preserve"> </w:t>
      </w:r>
      <w:r w:rsidR="00BE6D19" w:rsidRPr="00F37FAC">
        <w:rPr>
          <w:rFonts w:asciiTheme="minorHAnsi" w:hAnsiTheme="minorHAnsi" w:cstheme="minorHAnsi"/>
          <w:color w:val="000000" w:themeColor="text1"/>
          <w:szCs w:val="22"/>
        </w:rPr>
        <w:t>specific to</w:t>
      </w:r>
      <w:r w:rsidR="001C0E47" w:rsidRPr="00F37FAC">
        <w:rPr>
          <w:rFonts w:asciiTheme="minorHAnsi" w:hAnsiTheme="minorHAnsi" w:cstheme="minorHAnsi"/>
          <w:color w:val="000000" w:themeColor="text1"/>
          <w:szCs w:val="22"/>
        </w:rPr>
        <w:t xml:space="preserve"> the admission body </w:t>
      </w:r>
      <w:r w:rsidRPr="00F37FAC">
        <w:rPr>
          <w:rFonts w:asciiTheme="minorHAnsi" w:hAnsiTheme="minorHAnsi" w:cstheme="minorHAnsi"/>
          <w:color w:val="000000" w:themeColor="text1"/>
          <w:szCs w:val="22"/>
        </w:rPr>
        <w:t xml:space="preserve">and </w:t>
      </w:r>
      <w:r w:rsidR="00347176" w:rsidRPr="00F37FAC">
        <w:rPr>
          <w:rFonts w:asciiTheme="minorHAnsi" w:hAnsiTheme="minorHAnsi" w:cstheme="minorHAnsi"/>
          <w:color w:val="000000" w:themeColor="text1"/>
          <w:szCs w:val="22"/>
        </w:rPr>
        <w:t xml:space="preserve">the Fund’s </w:t>
      </w:r>
      <w:r w:rsidRPr="00F37FAC">
        <w:rPr>
          <w:rFonts w:asciiTheme="minorHAnsi" w:hAnsiTheme="minorHAnsi" w:cstheme="minorHAnsi"/>
          <w:color w:val="000000" w:themeColor="text1"/>
          <w:szCs w:val="22"/>
        </w:rPr>
        <w:t>investment returns. Note that for some admission bodies, such as those set up under a pass</w:t>
      </w:r>
      <w:r w:rsidR="00DC356F" w:rsidRPr="00F37FAC">
        <w:rPr>
          <w:rFonts w:asciiTheme="minorHAnsi" w:hAnsiTheme="minorHAnsi" w:cstheme="minorHAnsi"/>
          <w:color w:val="000000" w:themeColor="text1"/>
          <w:szCs w:val="22"/>
        </w:rPr>
        <w:t>-</w:t>
      </w:r>
      <w:r w:rsidRPr="00F37FAC">
        <w:rPr>
          <w:rFonts w:asciiTheme="minorHAnsi" w:hAnsiTheme="minorHAnsi" w:cstheme="minorHAnsi"/>
          <w:color w:val="000000" w:themeColor="text1"/>
          <w:szCs w:val="22"/>
        </w:rPr>
        <w:t>through arrangement, the asset share is not tracked</w:t>
      </w:r>
      <w:r w:rsidR="00AE4F2C" w:rsidRPr="00F37FAC">
        <w:rPr>
          <w:rFonts w:asciiTheme="minorHAnsi" w:hAnsiTheme="minorHAnsi" w:cstheme="minorHAnsi"/>
          <w:color w:val="000000" w:themeColor="text1"/>
          <w:szCs w:val="22"/>
        </w:rPr>
        <w:t xml:space="preserve"> as the pension </w:t>
      </w:r>
      <w:r w:rsidR="00EC65D7" w:rsidRPr="00F37FAC">
        <w:rPr>
          <w:rFonts w:asciiTheme="minorHAnsi" w:hAnsiTheme="minorHAnsi" w:cstheme="minorHAnsi"/>
          <w:color w:val="000000" w:themeColor="text1"/>
          <w:szCs w:val="22"/>
        </w:rPr>
        <w:t>assets and obligations</w:t>
      </w:r>
      <w:r w:rsidR="00AE4F2C" w:rsidRPr="00F37FAC">
        <w:rPr>
          <w:rFonts w:asciiTheme="minorHAnsi" w:hAnsiTheme="minorHAnsi" w:cstheme="minorHAnsi"/>
          <w:color w:val="000000" w:themeColor="text1"/>
          <w:szCs w:val="22"/>
        </w:rPr>
        <w:t xml:space="preserve"> are </w:t>
      </w:r>
      <w:r w:rsidR="00EC65D7" w:rsidRPr="00F37FAC">
        <w:rPr>
          <w:rFonts w:asciiTheme="minorHAnsi" w:hAnsiTheme="minorHAnsi" w:cstheme="minorHAnsi"/>
          <w:color w:val="000000" w:themeColor="text1"/>
          <w:szCs w:val="22"/>
        </w:rPr>
        <w:t xml:space="preserve">generally </w:t>
      </w:r>
      <w:r w:rsidR="00AE4F2C" w:rsidRPr="00F37FAC">
        <w:rPr>
          <w:rFonts w:asciiTheme="minorHAnsi" w:hAnsiTheme="minorHAnsi" w:cstheme="minorHAnsi"/>
          <w:color w:val="000000" w:themeColor="text1"/>
          <w:szCs w:val="22"/>
        </w:rPr>
        <w:t>retained by the awarding authority</w:t>
      </w:r>
      <w:r w:rsidRPr="00F37FAC">
        <w:rPr>
          <w:rFonts w:asciiTheme="minorHAnsi" w:hAnsiTheme="minorHAnsi" w:cstheme="minorHAnsi"/>
          <w:color w:val="000000" w:themeColor="text1"/>
          <w:szCs w:val="22"/>
        </w:rPr>
        <w:t>.</w:t>
      </w:r>
    </w:p>
    <w:p w14:paraId="783CD0AD" w14:textId="3A5915F3" w:rsidR="009F6F93" w:rsidRPr="00A705D8" w:rsidRDefault="009F6F93" w:rsidP="00A705D8">
      <w:pPr>
        <w:pStyle w:val="ListParagraph"/>
        <w:numPr>
          <w:ilvl w:val="0"/>
          <w:numId w:val="0"/>
        </w:numPr>
        <w:spacing w:after="180"/>
        <w:ind w:left="1276"/>
        <w:rPr>
          <w:rFonts w:asciiTheme="minorHAnsi" w:hAnsiTheme="minorHAnsi" w:cstheme="minorHAnsi"/>
          <w:iCs/>
          <w:color w:val="000000" w:themeColor="text1"/>
          <w:szCs w:val="22"/>
        </w:rPr>
      </w:pPr>
      <w:r w:rsidRPr="00F37FAC">
        <w:rPr>
          <w:rFonts w:asciiTheme="minorHAnsi" w:hAnsiTheme="minorHAnsi" w:cstheme="minorHAnsi"/>
          <w:color w:val="000000" w:themeColor="text1"/>
          <w:szCs w:val="22"/>
        </w:rPr>
        <w:t xml:space="preserve">The assets will remain within the main </w:t>
      </w:r>
      <w:r w:rsidR="00CC700A" w:rsidRPr="00F37FAC">
        <w:rPr>
          <w:rFonts w:asciiTheme="minorHAnsi" w:hAnsiTheme="minorHAnsi" w:cstheme="minorHAnsi"/>
          <w:color w:val="000000" w:themeColor="text1"/>
          <w:szCs w:val="22"/>
        </w:rPr>
        <w:t>F</w:t>
      </w:r>
      <w:r w:rsidR="00EE3B11" w:rsidRPr="00F37FAC">
        <w:rPr>
          <w:rFonts w:asciiTheme="minorHAnsi" w:hAnsiTheme="minorHAnsi" w:cstheme="minorHAnsi"/>
          <w:color w:val="000000" w:themeColor="text1"/>
          <w:szCs w:val="22"/>
        </w:rPr>
        <w:t>und</w:t>
      </w:r>
      <w:r w:rsidRPr="00F37FAC">
        <w:rPr>
          <w:rFonts w:asciiTheme="minorHAnsi" w:hAnsiTheme="minorHAnsi" w:cstheme="minorHAnsi"/>
          <w:color w:val="000000" w:themeColor="text1"/>
          <w:szCs w:val="22"/>
        </w:rPr>
        <w:t xml:space="preserve"> (i.e. no separate admission body fund will be </w:t>
      </w:r>
      <w:r w:rsidRPr="00A705D8">
        <w:rPr>
          <w:rFonts w:asciiTheme="minorHAnsi" w:hAnsiTheme="minorHAnsi" w:cstheme="minorHAnsi"/>
          <w:iCs/>
          <w:color w:val="000000" w:themeColor="text1"/>
          <w:szCs w:val="22"/>
        </w:rPr>
        <w:t>set up).</w:t>
      </w:r>
    </w:p>
    <w:p w14:paraId="501E82F8" w14:textId="457E5A8C" w:rsidR="006C2653" w:rsidRPr="00A705D8" w:rsidRDefault="00CA511F" w:rsidP="00A705D8">
      <w:pPr>
        <w:pStyle w:val="Heading3Num"/>
        <w:tabs>
          <w:tab w:val="clear" w:pos="2127"/>
          <w:tab w:val="num" w:pos="1276"/>
        </w:tabs>
        <w:ind w:hanging="2127"/>
      </w:pPr>
      <w:bookmarkStart w:id="8" w:name="_Toc80875366"/>
      <w:r w:rsidRPr="00A705D8">
        <w:t>Investment s</w:t>
      </w:r>
      <w:r w:rsidR="004C555B" w:rsidRPr="00A705D8">
        <w:t>trategy</w:t>
      </w:r>
      <w:bookmarkEnd w:id="8"/>
    </w:p>
    <w:p w14:paraId="3D934354" w14:textId="77777777" w:rsidR="00CB45A0" w:rsidRPr="003C583F" w:rsidRDefault="00CB45A0" w:rsidP="003C583F">
      <w:pPr>
        <w:pStyle w:val="ListParagraph"/>
        <w:numPr>
          <w:ilvl w:val="0"/>
          <w:numId w:val="0"/>
        </w:numPr>
        <w:spacing w:after="180"/>
        <w:ind w:left="1276"/>
        <w:rPr>
          <w:rFonts w:asciiTheme="minorHAnsi" w:hAnsiTheme="minorHAnsi" w:cstheme="minorHAnsi"/>
          <w:iCs/>
          <w:color w:val="000000" w:themeColor="text1"/>
          <w:szCs w:val="22"/>
        </w:rPr>
      </w:pPr>
      <w:r w:rsidRPr="003C583F">
        <w:rPr>
          <w:rFonts w:asciiTheme="minorHAnsi" w:hAnsiTheme="minorHAnsi" w:cstheme="minorHAnsi"/>
          <w:iCs/>
          <w:color w:val="000000" w:themeColor="text1"/>
          <w:szCs w:val="22"/>
        </w:rPr>
        <w:t xml:space="preserve">The investment strategy is set for the </w:t>
      </w:r>
      <w:r w:rsidR="00437C51" w:rsidRPr="003C583F">
        <w:rPr>
          <w:rFonts w:asciiTheme="minorHAnsi" w:hAnsiTheme="minorHAnsi" w:cstheme="minorHAnsi"/>
          <w:iCs/>
          <w:color w:val="000000" w:themeColor="text1"/>
          <w:szCs w:val="22"/>
        </w:rPr>
        <w:t>Fund</w:t>
      </w:r>
      <w:r w:rsidRPr="003C583F">
        <w:rPr>
          <w:rFonts w:asciiTheme="minorHAnsi" w:hAnsiTheme="minorHAnsi" w:cstheme="minorHAnsi"/>
          <w:iCs/>
          <w:color w:val="000000" w:themeColor="text1"/>
          <w:szCs w:val="22"/>
        </w:rPr>
        <w:t xml:space="preserve"> as a whole, not for each employer’s notional share of the F</w:t>
      </w:r>
      <w:r w:rsidR="00437C51" w:rsidRPr="003C583F">
        <w:rPr>
          <w:rFonts w:asciiTheme="minorHAnsi" w:hAnsiTheme="minorHAnsi" w:cstheme="minorHAnsi"/>
          <w:iCs/>
          <w:color w:val="000000" w:themeColor="text1"/>
          <w:szCs w:val="22"/>
        </w:rPr>
        <w:t>und</w:t>
      </w:r>
      <w:r w:rsidRPr="003C583F">
        <w:rPr>
          <w:rFonts w:asciiTheme="minorHAnsi" w:hAnsiTheme="minorHAnsi" w:cstheme="minorHAnsi"/>
          <w:iCs/>
          <w:color w:val="000000" w:themeColor="text1"/>
          <w:szCs w:val="22"/>
        </w:rPr>
        <w:t xml:space="preserve">.  Any alternative approach proposed is subject to agreement by the </w:t>
      </w:r>
      <w:r w:rsidR="00437C51" w:rsidRPr="003C583F">
        <w:rPr>
          <w:rFonts w:asciiTheme="minorHAnsi" w:hAnsiTheme="minorHAnsi" w:cstheme="minorHAnsi"/>
          <w:iCs/>
          <w:color w:val="000000" w:themeColor="text1"/>
          <w:szCs w:val="22"/>
        </w:rPr>
        <w:t>Fund</w:t>
      </w:r>
      <w:r w:rsidRPr="003C583F">
        <w:rPr>
          <w:rFonts w:asciiTheme="minorHAnsi" w:hAnsiTheme="minorHAnsi" w:cstheme="minorHAnsi"/>
          <w:iCs/>
          <w:color w:val="000000" w:themeColor="text1"/>
          <w:szCs w:val="22"/>
        </w:rPr>
        <w:t>.</w:t>
      </w:r>
    </w:p>
    <w:p w14:paraId="558AC22F" w14:textId="432AC410" w:rsidR="009F6F93" w:rsidRPr="009125FA" w:rsidRDefault="004C555B" w:rsidP="009125FA">
      <w:pPr>
        <w:pStyle w:val="Heading3Num"/>
        <w:tabs>
          <w:tab w:val="clear" w:pos="2127"/>
          <w:tab w:val="num" w:pos="1276"/>
        </w:tabs>
        <w:ind w:hanging="2127"/>
      </w:pPr>
      <w:bookmarkStart w:id="9" w:name="_Toc80875367"/>
      <w:r w:rsidRPr="009125FA">
        <w:t>Contribution rates and other costs</w:t>
      </w:r>
      <w:bookmarkEnd w:id="9"/>
    </w:p>
    <w:p w14:paraId="474868A7" w14:textId="1BF3EA9F" w:rsidR="009F6F93" w:rsidRPr="00A705D8" w:rsidRDefault="00115BFB" w:rsidP="0007297D">
      <w:pPr>
        <w:spacing w:after="180"/>
        <w:ind w:left="1276"/>
        <w:rPr>
          <w:rFonts w:asciiTheme="minorHAnsi" w:hAnsiTheme="minorHAnsi" w:cstheme="minorHAnsi"/>
          <w:color w:val="000000" w:themeColor="text1"/>
          <w:sz w:val="22"/>
          <w:szCs w:val="22"/>
          <w:lang w:val="en-GB" w:eastAsia="en-GB"/>
        </w:rPr>
      </w:pPr>
      <w:r w:rsidRPr="00A705D8">
        <w:rPr>
          <w:rFonts w:asciiTheme="minorHAnsi" w:hAnsiTheme="minorHAnsi" w:cstheme="minorHAnsi"/>
          <w:color w:val="000000" w:themeColor="text1"/>
          <w:sz w:val="22"/>
          <w:szCs w:val="22"/>
          <w:lang w:val="en-GB" w:eastAsia="en-GB"/>
        </w:rPr>
        <w:t xml:space="preserve">Admission bodies will be required to pay the employer contribution rate set out in the </w:t>
      </w:r>
      <w:r w:rsidR="00CC700A" w:rsidRPr="00A705D8">
        <w:rPr>
          <w:rFonts w:asciiTheme="minorHAnsi" w:hAnsiTheme="minorHAnsi" w:cstheme="minorHAnsi"/>
          <w:color w:val="000000" w:themeColor="text1"/>
          <w:sz w:val="22"/>
          <w:szCs w:val="22"/>
          <w:lang w:val="en-GB" w:eastAsia="en-GB"/>
        </w:rPr>
        <w:t>F</w:t>
      </w:r>
      <w:r w:rsidR="00EE3B11" w:rsidRPr="00A705D8">
        <w:rPr>
          <w:rFonts w:asciiTheme="minorHAnsi" w:hAnsiTheme="minorHAnsi" w:cstheme="minorHAnsi"/>
          <w:color w:val="000000" w:themeColor="text1"/>
          <w:sz w:val="22"/>
          <w:szCs w:val="22"/>
          <w:lang w:val="en-GB" w:eastAsia="en-GB"/>
        </w:rPr>
        <w:t>und</w:t>
      </w:r>
      <w:r w:rsidR="00AE68B9" w:rsidRPr="00A705D8">
        <w:rPr>
          <w:rFonts w:asciiTheme="minorHAnsi" w:hAnsiTheme="minorHAnsi" w:cstheme="minorHAnsi"/>
          <w:color w:val="000000" w:themeColor="text1"/>
          <w:sz w:val="22"/>
          <w:szCs w:val="22"/>
          <w:lang w:val="en-GB" w:eastAsia="en-GB"/>
        </w:rPr>
        <w:t xml:space="preserve"> actuary’s initial report, and subsequently in the </w:t>
      </w:r>
      <w:r w:rsidR="00CC700A" w:rsidRPr="00A705D8">
        <w:rPr>
          <w:rFonts w:asciiTheme="minorHAnsi" w:hAnsiTheme="minorHAnsi" w:cstheme="minorHAnsi"/>
          <w:color w:val="000000" w:themeColor="text1"/>
          <w:sz w:val="22"/>
          <w:szCs w:val="22"/>
          <w:lang w:val="en-GB" w:eastAsia="en-GB"/>
        </w:rPr>
        <w:t>F</w:t>
      </w:r>
      <w:r w:rsidR="00EE3B11" w:rsidRPr="00A705D8">
        <w:rPr>
          <w:rFonts w:asciiTheme="minorHAnsi" w:hAnsiTheme="minorHAnsi" w:cstheme="minorHAnsi"/>
          <w:color w:val="000000" w:themeColor="text1"/>
          <w:sz w:val="22"/>
          <w:szCs w:val="22"/>
          <w:lang w:val="en-GB" w:eastAsia="en-GB"/>
        </w:rPr>
        <w:t>und</w:t>
      </w:r>
      <w:r w:rsidR="0046548C" w:rsidRPr="00A705D8">
        <w:rPr>
          <w:rFonts w:asciiTheme="minorHAnsi" w:hAnsiTheme="minorHAnsi" w:cstheme="minorHAnsi"/>
          <w:color w:val="000000" w:themeColor="text1"/>
          <w:sz w:val="22"/>
          <w:szCs w:val="22"/>
          <w:lang w:val="en-GB" w:eastAsia="en-GB"/>
        </w:rPr>
        <w:t>’s</w:t>
      </w:r>
      <w:r w:rsidRPr="00A705D8">
        <w:rPr>
          <w:rFonts w:asciiTheme="minorHAnsi" w:hAnsiTheme="minorHAnsi" w:cstheme="minorHAnsi"/>
          <w:color w:val="000000" w:themeColor="text1"/>
          <w:sz w:val="22"/>
          <w:szCs w:val="22"/>
          <w:lang w:val="en-GB" w:eastAsia="en-GB"/>
        </w:rPr>
        <w:t xml:space="preserve"> rates and adjustments certificate</w:t>
      </w:r>
      <w:r w:rsidR="00347176" w:rsidRPr="00A705D8">
        <w:rPr>
          <w:rFonts w:asciiTheme="minorHAnsi" w:hAnsiTheme="minorHAnsi" w:cstheme="minorHAnsi"/>
          <w:color w:val="000000" w:themeColor="text1"/>
          <w:sz w:val="22"/>
          <w:szCs w:val="22"/>
          <w:lang w:val="en-GB" w:eastAsia="en-GB"/>
        </w:rPr>
        <w:t>, issued as part of the triennial actuarial valuation of the Fund.</w:t>
      </w:r>
      <w:r w:rsidR="00C12138" w:rsidRPr="00A705D8">
        <w:rPr>
          <w:rFonts w:asciiTheme="minorHAnsi" w:hAnsiTheme="minorHAnsi" w:cstheme="minorHAnsi"/>
          <w:color w:val="000000" w:themeColor="text1"/>
          <w:sz w:val="22"/>
          <w:szCs w:val="22"/>
          <w:lang w:val="en-GB" w:eastAsia="en-GB"/>
        </w:rPr>
        <w:t xml:space="preserve"> </w:t>
      </w:r>
      <w:r w:rsidR="00313A07" w:rsidRPr="00A705D8">
        <w:rPr>
          <w:rFonts w:asciiTheme="minorHAnsi" w:hAnsiTheme="minorHAnsi" w:cstheme="minorHAnsi"/>
          <w:color w:val="000000" w:themeColor="text1"/>
          <w:sz w:val="22"/>
          <w:szCs w:val="22"/>
          <w:lang w:val="en-GB" w:eastAsia="en-GB"/>
        </w:rPr>
        <w:t xml:space="preserve">The employer contribution is </w:t>
      </w:r>
      <w:r w:rsidR="008B63AA" w:rsidRPr="00A705D8">
        <w:rPr>
          <w:rFonts w:asciiTheme="minorHAnsi" w:hAnsiTheme="minorHAnsi" w:cstheme="minorHAnsi"/>
          <w:color w:val="000000" w:themeColor="text1"/>
          <w:sz w:val="22"/>
          <w:szCs w:val="22"/>
          <w:lang w:val="en-GB" w:eastAsia="en-GB"/>
        </w:rPr>
        <w:t>split into two parts – Primary and Secondary – as detailed in the Funding Strategy Statement</w:t>
      </w:r>
      <w:r w:rsidR="00A336B3" w:rsidRPr="00A705D8">
        <w:rPr>
          <w:rFonts w:asciiTheme="minorHAnsi" w:hAnsiTheme="minorHAnsi" w:cstheme="minorHAnsi"/>
          <w:color w:val="000000" w:themeColor="text1"/>
          <w:sz w:val="22"/>
          <w:szCs w:val="22"/>
          <w:lang w:val="en-GB" w:eastAsia="en-GB"/>
        </w:rPr>
        <w:t xml:space="preserve"> and</w:t>
      </w:r>
      <w:r w:rsidR="008B63AA" w:rsidRPr="00A705D8">
        <w:rPr>
          <w:rFonts w:asciiTheme="minorHAnsi" w:hAnsiTheme="minorHAnsi" w:cstheme="minorHAnsi"/>
          <w:color w:val="000000" w:themeColor="text1"/>
          <w:sz w:val="22"/>
          <w:szCs w:val="22"/>
          <w:lang w:val="en-GB" w:eastAsia="en-GB"/>
        </w:rPr>
        <w:t xml:space="preserve"> initial report</w:t>
      </w:r>
      <w:r w:rsidR="00A336B3" w:rsidRPr="00A705D8">
        <w:rPr>
          <w:rFonts w:asciiTheme="minorHAnsi" w:hAnsiTheme="minorHAnsi" w:cstheme="minorHAnsi"/>
          <w:color w:val="000000" w:themeColor="text1"/>
          <w:sz w:val="22"/>
          <w:szCs w:val="22"/>
          <w:lang w:val="en-GB" w:eastAsia="en-GB"/>
        </w:rPr>
        <w:t>,</w:t>
      </w:r>
      <w:r w:rsidR="008B63AA" w:rsidRPr="00A705D8">
        <w:rPr>
          <w:rFonts w:asciiTheme="minorHAnsi" w:hAnsiTheme="minorHAnsi" w:cstheme="minorHAnsi"/>
          <w:color w:val="000000" w:themeColor="text1"/>
          <w:sz w:val="22"/>
          <w:szCs w:val="22"/>
          <w:lang w:val="en-GB" w:eastAsia="en-GB"/>
        </w:rPr>
        <w:t xml:space="preserve"> and </w:t>
      </w:r>
      <w:r w:rsidR="00A336B3" w:rsidRPr="00A705D8">
        <w:rPr>
          <w:rFonts w:asciiTheme="minorHAnsi" w:hAnsiTheme="minorHAnsi" w:cstheme="minorHAnsi"/>
          <w:color w:val="000000" w:themeColor="text1"/>
          <w:sz w:val="22"/>
          <w:szCs w:val="22"/>
          <w:lang w:val="en-GB" w:eastAsia="en-GB"/>
        </w:rPr>
        <w:t xml:space="preserve">employers must pay both parts. </w:t>
      </w:r>
      <w:r w:rsidRPr="00A705D8">
        <w:rPr>
          <w:rFonts w:asciiTheme="minorHAnsi" w:hAnsiTheme="minorHAnsi" w:cstheme="minorHAnsi"/>
          <w:color w:val="000000" w:themeColor="text1"/>
          <w:sz w:val="22"/>
          <w:szCs w:val="22"/>
          <w:lang w:val="en-GB" w:eastAsia="en-GB"/>
        </w:rPr>
        <w:t xml:space="preserve">The rate will be set by the </w:t>
      </w:r>
      <w:r w:rsidR="00CC700A" w:rsidRPr="00A705D8">
        <w:rPr>
          <w:rFonts w:asciiTheme="minorHAnsi" w:hAnsiTheme="minorHAnsi" w:cstheme="minorHAnsi"/>
          <w:color w:val="000000" w:themeColor="text1"/>
          <w:sz w:val="22"/>
          <w:szCs w:val="22"/>
          <w:lang w:val="en-GB" w:eastAsia="en-GB"/>
        </w:rPr>
        <w:t>F</w:t>
      </w:r>
      <w:r w:rsidR="00EE3B11" w:rsidRPr="00A705D8">
        <w:rPr>
          <w:rFonts w:asciiTheme="minorHAnsi" w:hAnsiTheme="minorHAnsi" w:cstheme="minorHAnsi"/>
          <w:color w:val="000000" w:themeColor="text1"/>
          <w:sz w:val="22"/>
          <w:szCs w:val="22"/>
          <w:lang w:val="en-GB" w:eastAsia="en-GB"/>
        </w:rPr>
        <w:t>und</w:t>
      </w:r>
      <w:r w:rsidRPr="00A705D8">
        <w:rPr>
          <w:rFonts w:asciiTheme="minorHAnsi" w:hAnsiTheme="minorHAnsi" w:cstheme="minorHAnsi"/>
          <w:color w:val="000000" w:themeColor="text1"/>
          <w:sz w:val="22"/>
          <w:szCs w:val="22"/>
          <w:lang w:val="en-GB" w:eastAsia="en-GB"/>
        </w:rPr>
        <w:t xml:space="preserve">’s actuary </w:t>
      </w:r>
      <w:r w:rsidR="002C654A" w:rsidRPr="00A705D8">
        <w:rPr>
          <w:rFonts w:asciiTheme="minorHAnsi" w:hAnsiTheme="minorHAnsi" w:cstheme="minorHAnsi"/>
          <w:color w:val="000000" w:themeColor="text1"/>
          <w:sz w:val="22"/>
          <w:szCs w:val="22"/>
          <w:lang w:val="en-GB" w:eastAsia="en-GB"/>
        </w:rPr>
        <w:t xml:space="preserve">using a risk-based approach </w:t>
      </w:r>
      <w:r w:rsidRPr="00A705D8">
        <w:rPr>
          <w:rFonts w:asciiTheme="minorHAnsi" w:hAnsiTheme="minorHAnsi" w:cstheme="minorHAnsi"/>
          <w:color w:val="000000" w:themeColor="text1"/>
          <w:sz w:val="22"/>
          <w:szCs w:val="22"/>
          <w:lang w:val="en-GB" w:eastAsia="en-GB"/>
        </w:rPr>
        <w:t xml:space="preserve">and </w:t>
      </w:r>
      <w:r w:rsidR="009F6F93" w:rsidRPr="00A705D8">
        <w:rPr>
          <w:rFonts w:asciiTheme="minorHAnsi" w:hAnsiTheme="minorHAnsi" w:cstheme="minorHAnsi"/>
          <w:color w:val="000000" w:themeColor="text1"/>
          <w:sz w:val="22"/>
          <w:szCs w:val="22"/>
          <w:lang w:val="en-GB" w:eastAsia="en-GB"/>
        </w:rPr>
        <w:t xml:space="preserve">will be set in accordance with the </w:t>
      </w:r>
      <w:r w:rsidR="001C0E47" w:rsidRPr="00A705D8">
        <w:rPr>
          <w:rFonts w:asciiTheme="minorHAnsi" w:hAnsiTheme="minorHAnsi" w:cstheme="minorHAnsi"/>
          <w:color w:val="000000" w:themeColor="text1"/>
          <w:sz w:val="22"/>
          <w:szCs w:val="22"/>
          <w:lang w:val="en-GB" w:eastAsia="en-GB"/>
        </w:rPr>
        <w:t>F</w:t>
      </w:r>
      <w:r w:rsidR="009F6F93" w:rsidRPr="00A705D8">
        <w:rPr>
          <w:rFonts w:asciiTheme="minorHAnsi" w:hAnsiTheme="minorHAnsi" w:cstheme="minorHAnsi"/>
          <w:color w:val="000000" w:themeColor="text1"/>
          <w:sz w:val="22"/>
          <w:szCs w:val="22"/>
          <w:lang w:val="en-GB" w:eastAsia="en-GB"/>
        </w:rPr>
        <w:t xml:space="preserve">unding </w:t>
      </w:r>
      <w:r w:rsidR="001C0E47" w:rsidRPr="00A705D8">
        <w:rPr>
          <w:rFonts w:asciiTheme="minorHAnsi" w:hAnsiTheme="minorHAnsi" w:cstheme="minorHAnsi"/>
          <w:color w:val="000000" w:themeColor="text1"/>
          <w:sz w:val="22"/>
          <w:szCs w:val="22"/>
          <w:lang w:val="en-GB" w:eastAsia="en-GB"/>
        </w:rPr>
        <w:t>S</w:t>
      </w:r>
      <w:r w:rsidR="009F6F93" w:rsidRPr="00A705D8">
        <w:rPr>
          <w:rFonts w:asciiTheme="minorHAnsi" w:hAnsiTheme="minorHAnsi" w:cstheme="minorHAnsi"/>
          <w:color w:val="000000" w:themeColor="text1"/>
          <w:sz w:val="22"/>
          <w:szCs w:val="22"/>
          <w:lang w:val="en-GB" w:eastAsia="en-GB"/>
        </w:rPr>
        <w:t xml:space="preserve">trategy </w:t>
      </w:r>
      <w:r w:rsidR="001C0E47" w:rsidRPr="00A705D8">
        <w:rPr>
          <w:rFonts w:asciiTheme="minorHAnsi" w:hAnsiTheme="minorHAnsi" w:cstheme="minorHAnsi"/>
          <w:color w:val="000000" w:themeColor="text1"/>
          <w:sz w:val="22"/>
          <w:szCs w:val="22"/>
          <w:lang w:val="en-GB" w:eastAsia="en-GB"/>
        </w:rPr>
        <w:t>S</w:t>
      </w:r>
      <w:r w:rsidR="009F6F93" w:rsidRPr="00A705D8">
        <w:rPr>
          <w:rFonts w:asciiTheme="minorHAnsi" w:hAnsiTheme="minorHAnsi" w:cstheme="minorHAnsi"/>
          <w:color w:val="000000" w:themeColor="text1"/>
          <w:sz w:val="22"/>
          <w:szCs w:val="22"/>
          <w:lang w:val="en-GB" w:eastAsia="en-GB"/>
        </w:rPr>
        <w:t>tatement</w:t>
      </w:r>
      <w:r w:rsidR="0007297D" w:rsidRPr="00A705D8">
        <w:rPr>
          <w:rFonts w:asciiTheme="minorHAnsi" w:hAnsiTheme="minorHAnsi" w:cstheme="minorHAnsi"/>
          <w:color w:val="000000" w:themeColor="text1"/>
          <w:sz w:val="22"/>
          <w:szCs w:val="22"/>
          <w:lang w:val="en-GB" w:eastAsia="en-GB"/>
        </w:rPr>
        <w:t xml:space="preserve"> (F</w:t>
      </w:r>
      <w:r w:rsidR="001C0E47" w:rsidRPr="00A705D8">
        <w:rPr>
          <w:rFonts w:asciiTheme="minorHAnsi" w:hAnsiTheme="minorHAnsi" w:cstheme="minorHAnsi"/>
          <w:color w:val="000000" w:themeColor="text1"/>
          <w:sz w:val="22"/>
          <w:szCs w:val="22"/>
          <w:lang w:val="en-GB" w:eastAsia="en-GB"/>
        </w:rPr>
        <w:t>SS</w:t>
      </w:r>
      <w:r w:rsidR="0007297D" w:rsidRPr="00A705D8">
        <w:rPr>
          <w:rFonts w:asciiTheme="minorHAnsi" w:hAnsiTheme="minorHAnsi" w:cstheme="minorHAnsi"/>
          <w:color w:val="000000" w:themeColor="text1"/>
          <w:sz w:val="22"/>
          <w:szCs w:val="22"/>
          <w:lang w:val="en-GB" w:eastAsia="en-GB"/>
        </w:rPr>
        <w:t>)</w:t>
      </w:r>
      <w:r w:rsidR="009F6F93" w:rsidRPr="00A705D8">
        <w:rPr>
          <w:rFonts w:asciiTheme="minorHAnsi" w:hAnsiTheme="minorHAnsi" w:cstheme="minorHAnsi"/>
          <w:color w:val="000000" w:themeColor="text1"/>
          <w:sz w:val="22"/>
          <w:szCs w:val="22"/>
          <w:lang w:val="en-GB" w:eastAsia="en-GB"/>
        </w:rPr>
        <w:t>, taking into consideration elements such as:</w:t>
      </w:r>
    </w:p>
    <w:p w14:paraId="3FE3B7DE" w14:textId="794F2B25" w:rsidR="009F6F93" w:rsidRPr="00A705D8" w:rsidRDefault="007B6FF9"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A705D8">
        <w:rPr>
          <w:rFonts w:asciiTheme="minorHAnsi" w:hAnsiTheme="minorHAnsi" w:cstheme="minorHAnsi"/>
          <w:color w:val="000000" w:themeColor="text1"/>
          <w:szCs w:val="22"/>
        </w:rPr>
        <w:t>the employer’s funding target</w:t>
      </w:r>
      <w:r w:rsidR="009F6F93" w:rsidRPr="00A705D8">
        <w:rPr>
          <w:rFonts w:asciiTheme="minorHAnsi" w:hAnsiTheme="minorHAnsi" w:cstheme="minorHAnsi"/>
          <w:color w:val="000000" w:themeColor="text1"/>
          <w:szCs w:val="22"/>
        </w:rPr>
        <w:t>;</w:t>
      </w:r>
    </w:p>
    <w:p w14:paraId="1E119A64" w14:textId="77777777" w:rsidR="007B6FF9" w:rsidRPr="00A705D8" w:rsidRDefault="007B6FF9"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A705D8">
        <w:rPr>
          <w:rFonts w:asciiTheme="minorHAnsi" w:hAnsiTheme="minorHAnsi" w:cstheme="minorHAnsi"/>
          <w:color w:val="000000" w:themeColor="text1"/>
          <w:szCs w:val="22"/>
        </w:rPr>
        <w:t xml:space="preserve">the </w:t>
      </w:r>
      <w:r w:rsidR="002772D4" w:rsidRPr="00A705D8">
        <w:rPr>
          <w:rFonts w:asciiTheme="minorHAnsi" w:hAnsiTheme="minorHAnsi" w:cstheme="minorHAnsi"/>
          <w:color w:val="000000" w:themeColor="text1"/>
          <w:szCs w:val="22"/>
        </w:rPr>
        <w:t xml:space="preserve">desired </w:t>
      </w:r>
      <w:r w:rsidRPr="00A705D8">
        <w:rPr>
          <w:rFonts w:asciiTheme="minorHAnsi" w:hAnsiTheme="minorHAnsi" w:cstheme="minorHAnsi"/>
          <w:color w:val="000000" w:themeColor="text1"/>
          <w:szCs w:val="22"/>
        </w:rPr>
        <w:t>likelihood of achieving that funding target;</w:t>
      </w:r>
    </w:p>
    <w:p w14:paraId="245CA088" w14:textId="77777777" w:rsidR="007B6FF9" w:rsidRPr="00A705D8" w:rsidRDefault="007B6FF9"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A705D8">
        <w:rPr>
          <w:rFonts w:asciiTheme="minorHAnsi" w:hAnsiTheme="minorHAnsi" w:cstheme="minorHAnsi"/>
          <w:color w:val="000000" w:themeColor="text1"/>
          <w:szCs w:val="22"/>
        </w:rPr>
        <w:t>the time horizon over which the funding target is to be met;</w:t>
      </w:r>
    </w:p>
    <w:p w14:paraId="10874FB6" w14:textId="77777777" w:rsidR="009F6F93" w:rsidRPr="00A705D8"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A705D8">
        <w:rPr>
          <w:rFonts w:asciiTheme="minorHAnsi" w:hAnsiTheme="minorHAnsi" w:cstheme="minorHAnsi"/>
          <w:color w:val="000000" w:themeColor="text1"/>
          <w:szCs w:val="22"/>
        </w:rPr>
        <w:t>whether the admission agreement is open or closed</w:t>
      </w:r>
      <w:r w:rsidR="00B33467" w:rsidRPr="00A705D8">
        <w:rPr>
          <w:rFonts w:asciiTheme="minorHAnsi" w:hAnsiTheme="minorHAnsi" w:cstheme="minorHAnsi"/>
          <w:color w:val="000000" w:themeColor="text1"/>
          <w:szCs w:val="22"/>
        </w:rPr>
        <w:t xml:space="preserve"> to new members</w:t>
      </w:r>
      <w:r w:rsidRPr="00A705D8">
        <w:rPr>
          <w:rFonts w:asciiTheme="minorHAnsi" w:hAnsiTheme="minorHAnsi" w:cstheme="minorHAnsi"/>
          <w:color w:val="000000" w:themeColor="text1"/>
          <w:szCs w:val="22"/>
        </w:rPr>
        <w:t>;</w:t>
      </w:r>
      <w:r w:rsidR="001C7A53" w:rsidRPr="00A705D8">
        <w:rPr>
          <w:rFonts w:asciiTheme="minorHAnsi" w:hAnsiTheme="minorHAnsi" w:cstheme="minorHAnsi"/>
          <w:color w:val="000000" w:themeColor="text1"/>
          <w:szCs w:val="22"/>
        </w:rPr>
        <w:t xml:space="preserve"> and</w:t>
      </w:r>
    </w:p>
    <w:p w14:paraId="7360800C" w14:textId="5E0F05FF" w:rsidR="00836C4B" w:rsidRPr="00F37FAC"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A705D8">
        <w:rPr>
          <w:rFonts w:asciiTheme="minorHAnsi" w:hAnsiTheme="minorHAnsi" w:cstheme="minorHAnsi"/>
          <w:color w:val="000000" w:themeColor="text1"/>
          <w:szCs w:val="22"/>
        </w:rPr>
        <w:t xml:space="preserve">the employer covenant and that of its guarantor (if any) and/or any </w:t>
      </w:r>
      <w:r w:rsidRPr="00F37FAC">
        <w:rPr>
          <w:rFonts w:asciiTheme="minorHAnsi" w:hAnsiTheme="minorHAnsi" w:cstheme="minorHAnsi"/>
          <w:color w:val="000000" w:themeColor="text1"/>
          <w:szCs w:val="22"/>
        </w:rPr>
        <w:t>bond or indemnity to be put in place.</w:t>
      </w:r>
    </w:p>
    <w:p w14:paraId="581D4106" w14:textId="57551A24" w:rsidR="009F6F93" w:rsidRPr="00F37FAC" w:rsidRDefault="0028331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F37FAC">
        <w:rPr>
          <w:rFonts w:asciiTheme="minorHAnsi" w:hAnsiTheme="minorHAnsi" w:cstheme="minorHAnsi"/>
          <w:color w:val="000000" w:themeColor="text1"/>
          <w:szCs w:val="22"/>
        </w:rPr>
        <w:t>As well as</w:t>
      </w:r>
      <w:r w:rsidR="00C1383A" w:rsidRPr="00F37FAC">
        <w:rPr>
          <w:rFonts w:asciiTheme="minorHAnsi" w:hAnsiTheme="minorHAnsi" w:cstheme="minorHAnsi"/>
          <w:color w:val="000000" w:themeColor="text1"/>
          <w:szCs w:val="22"/>
        </w:rPr>
        <w:t xml:space="preserve"> </w:t>
      </w:r>
      <w:r w:rsidR="002E7157" w:rsidRPr="00F37FAC">
        <w:rPr>
          <w:rFonts w:asciiTheme="minorHAnsi" w:hAnsiTheme="minorHAnsi" w:cstheme="minorHAnsi"/>
          <w:color w:val="000000" w:themeColor="text1"/>
          <w:szCs w:val="22"/>
        </w:rPr>
        <w:t>its certified employer contributions</w:t>
      </w:r>
      <w:r w:rsidR="005557C0" w:rsidRPr="00F37FAC">
        <w:rPr>
          <w:rFonts w:asciiTheme="minorHAnsi" w:hAnsiTheme="minorHAnsi" w:cstheme="minorHAnsi"/>
          <w:color w:val="000000" w:themeColor="text1"/>
          <w:szCs w:val="22"/>
        </w:rPr>
        <w:t>,</w:t>
      </w:r>
      <w:r w:rsidR="002E7157" w:rsidRPr="00F37FAC">
        <w:rPr>
          <w:rFonts w:asciiTheme="minorHAnsi" w:hAnsiTheme="minorHAnsi" w:cstheme="minorHAnsi"/>
          <w:color w:val="000000" w:themeColor="text1"/>
          <w:szCs w:val="22"/>
        </w:rPr>
        <w:t xml:space="preserve"> t</w:t>
      </w:r>
      <w:r w:rsidR="009F6F93" w:rsidRPr="00F37FAC">
        <w:rPr>
          <w:rFonts w:asciiTheme="minorHAnsi" w:hAnsiTheme="minorHAnsi" w:cstheme="minorHAnsi"/>
          <w:color w:val="000000" w:themeColor="text1"/>
          <w:szCs w:val="22"/>
        </w:rPr>
        <w:t>he admission body will be required to pay additional payments including, but not limited to:</w:t>
      </w:r>
    </w:p>
    <w:p w14:paraId="755455F9" w14:textId="77777777" w:rsidR="003F2A3C"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 xml:space="preserve">lump sums in relation to any early retirements or early payment of pension benefits; </w:t>
      </w:r>
    </w:p>
    <w:p w14:paraId="3F7326A5" w14:textId="77777777"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lump sums in relation to any award of additional benefits;</w:t>
      </w:r>
      <w:r w:rsidR="00250C3D" w:rsidRPr="00191D77">
        <w:rPr>
          <w:rFonts w:asciiTheme="minorHAnsi" w:hAnsiTheme="minorHAnsi" w:cstheme="minorHAnsi"/>
          <w:color w:val="000000" w:themeColor="text1"/>
          <w:szCs w:val="22"/>
        </w:rPr>
        <w:t xml:space="preserve"> and</w:t>
      </w:r>
    </w:p>
    <w:p w14:paraId="3A9881A3" w14:textId="695AA321" w:rsidR="00B46F43" w:rsidRDefault="00B46F4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reimbursement of the administering authorit</w:t>
      </w:r>
      <w:r w:rsidR="003F2A3C" w:rsidRPr="00191D77">
        <w:rPr>
          <w:rFonts w:asciiTheme="minorHAnsi" w:hAnsiTheme="minorHAnsi" w:cstheme="minorHAnsi"/>
          <w:color w:val="000000" w:themeColor="text1"/>
          <w:szCs w:val="22"/>
        </w:rPr>
        <w:t>y’</w:t>
      </w:r>
      <w:r w:rsidRPr="00191D77">
        <w:rPr>
          <w:rFonts w:asciiTheme="minorHAnsi" w:hAnsiTheme="minorHAnsi" w:cstheme="minorHAnsi"/>
          <w:color w:val="000000" w:themeColor="text1"/>
          <w:szCs w:val="22"/>
        </w:rPr>
        <w:t>s or other bodies</w:t>
      </w:r>
      <w:r w:rsidR="003F2A3C" w:rsidRPr="00191D77">
        <w:rPr>
          <w:rFonts w:asciiTheme="minorHAnsi" w:hAnsiTheme="minorHAnsi" w:cstheme="minorHAnsi"/>
          <w:color w:val="000000" w:themeColor="text1"/>
          <w:szCs w:val="22"/>
        </w:rPr>
        <w:t>’</w:t>
      </w:r>
      <w:r w:rsidRPr="00191D77">
        <w:rPr>
          <w:rFonts w:asciiTheme="minorHAnsi" w:hAnsiTheme="minorHAnsi" w:cstheme="minorHAnsi"/>
          <w:color w:val="000000" w:themeColor="text1"/>
          <w:szCs w:val="22"/>
        </w:rPr>
        <w:t xml:space="preserve"> costs</w:t>
      </w:r>
      <w:r w:rsidR="005557C0" w:rsidRPr="00191D77">
        <w:rPr>
          <w:rFonts w:asciiTheme="minorHAnsi" w:hAnsiTheme="minorHAnsi" w:cstheme="minorHAnsi"/>
          <w:color w:val="000000" w:themeColor="text1"/>
          <w:szCs w:val="22"/>
        </w:rPr>
        <w:t xml:space="preserve"> incurred as a result of activity</w:t>
      </w:r>
      <w:r w:rsidRPr="00191D77">
        <w:rPr>
          <w:rFonts w:asciiTheme="minorHAnsi" w:hAnsiTheme="minorHAnsi" w:cstheme="minorHAnsi"/>
          <w:color w:val="000000" w:themeColor="text1"/>
          <w:szCs w:val="22"/>
        </w:rPr>
        <w:t xml:space="preserve"> </w:t>
      </w:r>
      <w:r w:rsidR="005557C0" w:rsidRPr="00191D77">
        <w:rPr>
          <w:rFonts w:asciiTheme="minorHAnsi" w:hAnsiTheme="minorHAnsi" w:cstheme="minorHAnsi"/>
          <w:color w:val="000000" w:themeColor="text1"/>
          <w:szCs w:val="22"/>
        </w:rPr>
        <w:t xml:space="preserve">directly related to or requested by the admission body or </w:t>
      </w:r>
      <w:r w:rsidRPr="00191D77">
        <w:rPr>
          <w:rFonts w:asciiTheme="minorHAnsi" w:hAnsiTheme="minorHAnsi" w:cstheme="minorHAnsi"/>
          <w:color w:val="000000" w:themeColor="text1"/>
          <w:szCs w:val="22"/>
        </w:rPr>
        <w:t>due to poor administration by the admission body.</w:t>
      </w:r>
    </w:p>
    <w:p w14:paraId="55311F00" w14:textId="77777777" w:rsidR="00F37FAC" w:rsidRPr="00191D77" w:rsidRDefault="00F37FAC" w:rsidP="00191D77">
      <w:pPr>
        <w:pStyle w:val="ListParagraph"/>
        <w:numPr>
          <w:ilvl w:val="0"/>
          <w:numId w:val="0"/>
        </w:numPr>
        <w:autoSpaceDE w:val="0"/>
        <w:autoSpaceDN w:val="0"/>
        <w:adjustRightInd w:val="0"/>
        <w:ind w:left="1211"/>
        <w:rPr>
          <w:rFonts w:asciiTheme="minorHAnsi" w:hAnsiTheme="minorHAnsi" w:cstheme="minorHAnsi"/>
          <w:color w:val="000000" w:themeColor="text1"/>
          <w:szCs w:val="22"/>
        </w:rPr>
      </w:pPr>
    </w:p>
    <w:p w14:paraId="07B22E19" w14:textId="02A27EC0" w:rsidR="009F6F93" w:rsidRPr="007C7D7C" w:rsidRDefault="009F6F93" w:rsidP="007C7D7C">
      <w:pPr>
        <w:pStyle w:val="ListParagraph"/>
        <w:numPr>
          <w:ilvl w:val="0"/>
          <w:numId w:val="0"/>
        </w:numPr>
        <w:spacing w:after="180"/>
        <w:ind w:left="1276"/>
        <w:rPr>
          <w:rFonts w:asciiTheme="minorHAnsi" w:hAnsiTheme="minorHAnsi" w:cstheme="minorHAnsi"/>
          <w:iCs/>
          <w:color w:val="000000" w:themeColor="text1"/>
          <w:szCs w:val="22"/>
        </w:rPr>
      </w:pPr>
      <w:r w:rsidRPr="007C7D7C">
        <w:rPr>
          <w:rFonts w:asciiTheme="minorHAnsi" w:hAnsiTheme="minorHAnsi" w:cstheme="minorHAnsi"/>
          <w:iCs/>
          <w:color w:val="000000" w:themeColor="text1"/>
          <w:szCs w:val="22"/>
        </w:rPr>
        <w:t xml:space="preserve">All lump sums in relation to </w:t>
      </w:r>
      <w:r w:rsidR="00F429AD" w:rsidRPr="007C7D7C">
        <w:rPr>
          <w:rFonts w:asciiTheme="minorHAnsi" w:hAnsiTheme="minorHAnsi" w:cstheme="minorHAnsi"/>
          <w:iCs/>
          <w:color w:val="000000" w:themeColor="text1"/>
          <w:szCs w:val="22"/>
        </w:rPr>
        <w:t xml:space="preserve">non-ill health </w:t>
      </w:r>
      <w:r w:rsidRPr="007C7D7C">
        <w:rPr>
          <w:rFonts w:asciiTheme="minorHAnsi" w:hAnsiTheme="minorHAnsi" w:cstheme="minorHAnsi"/>
          <w:iCs/>
          <w:color w:val="000000" w:themeColor="text1"/>
          <w:szCs w:val="22"/>
        </w:rPr>
        <w:t>early retirement will be paid immediately by the admission body unless the Head of Pensions and Section 151 Officer for</w:t>
      </w:r>
      <w:r w:rsidRPr="00836C4B">
        <w:rPr>
          <w:rFonts w:ascii="Arial" w:hAnsi="Arial" w:cs="Arial"/>
          <w:iCs/>
          <w:color w:val="000000" w:themeColor="text1"/>
          <w:sz w:val="24"/>
        </w:rPr>
        <w:t xml:space="preserve"> </w:t>
      </w:r>
      <w:r w:rsidR="00401F75">
        <w:rPr>
          <w:rFonts w:asciiTheme="minorHAnsi" w:hAnsiTheme="minorHAnsi" w:cstheme="minorHAnsi"/>
          <w:iCs/>
          <w:color w:val="000000" w:themeColor="text1"/>
          <w:szCs w:val="22"/>
        </w:rPr>
        <w:t>Cambridgeshire County</w:t>
      </w:r>
      <w:r w:rsidR="001C0E47" w:rsidRPr="007C7D7C">
        <w:rPr>
          <w:rFonts w:asciiTheme="minorHAnsi" w:hAnsiTheme="minorHAnsi" w:cstheme="minorHAnsi"/>
          <w:iCs/>
          <w:color w:val="000000" w:themeColor="text1"/>
          <w:szCs w:val="22"/>
        </w:rPr>
        <w:t xml:space="preserve"> </w:t>
      </w:r>
      <w:r w:rsidRPr="007C7D7C">
        <w:rPr>
          <w:rFonts w:asciiTheme="minorHAnsi" w:hAnsiTheme="minorHAnsi" w:cstheme="minorHAnsi"/>
          <w:iCs/>
          <w:color w:val="000000" w:themeColor="text1"/>
          <w:szCs w:val="22"/>
        </w:rPr>
        <w:t>Council jointly agree the payment may be extended over a maximum period of 3 years.</w:t>
      </w:r>
    </w:p>
    <w:p w14:paraId="599F2D6D" w14:textId="1C05971C" w:rsidR="003E6084" w:rsidRPr="007C7D7C" w:rsidRDefault="003E6084" w:rsidP="007C7D7C">
      <w:pPr>
        <w:spacing w:after="180"/>
        <w:ind w:left="1276"/>
        <w:rPr>
          <w:rFonts w:asciiTheme="minorHAnsi" w:hAnsiTheme="minorHAnsi" w:cstheme="minorHAnsi"/>
          <w:color w:val="000000"/>
          <w:sz w:val="22"/>
          <w:szCs w:val="22"/>
        </w:rPr>
      </w:pPr>
      <w:r w:rsidRPr="007C7D7C">
        <w:rPr>
          <w:rFonts w:asciiTheme="minorHAnsi" w:hAnsiTheme="minorHAnsi" w:cstheme="minorHAnsi"/>
          <w:color w:val="000000"/>
          <w:sz w:val="22"/>
          <w:szCs w:val="22"/>
        </w:rPr>
        <w:t xml:space="preserve">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color w:val="000000"/>
          <w:sz w:val="22"/>
          <w:szCs w:val="22"/>
        </w:rPr>
        <w:t xml:space="preserve"> </w:t>
      </w:r>
      <w:r w:rsidRPr="007C7D7C">
        <w:rPr>
          <w:rFonts w:asciiTheme="minorHAnsi" w:hAnsiTheme="minorHAnsi" w:cstheme="minorHAnsi"/>
          <w:color w:val="000000"/>
          <w:sz w:val="22"/>
          <w:szCs w:val="22"/>
        </w:rPr>
        <w:t xml:space="preserve">reserves the right to also request immediate payment of any ill-health strain payment not covered by the Fund’s ill health </w:t>
      </w:r>
      <w:r w:rsidR="001C0E47" w:rsidRPr="007C7D7C">
        <w:rPr>
          <w:rFonts w:asciiTheme="minorHAnsi" w:hAnsiTheme="minorHAnsi" w:cstheme="minorHAnsi"/>
          <w:color w:val="000000"/>
          <w:sz w:val="22"/>
          <w:szCs w:val="22"/>
        </w:rPr>
        <w:t>pooling</w:t>
      </w:r>
      <w:r w:rsidRPr="007C7D7C">
        <w:rPr>
          <w:rFonts w:asciiTheme="minorHAnsi" w:hAnsiTheme="minorHAnsi" w:cstheme="minorHAnsi"/>
          <w:color w:val="000000"/>
          <w:sz w:val="22"/>
          <w:szCs w:val="22"/>
        </w:rPr>
        <w:t xml:space="preserve"> policy</w:t>
      </w:r>
      <w:r w:rsidR="001C0E47" w:rsidRPr="007C7D7C">
        <w:rPr>
          <w:rFonts w:asciiTheme="minorHAnsi" w:hAnsiTheme="minorHAnsi" w:cstheme="minorHAnsi"/>
          <w:color w:val="000000"/>
          <w:sz w:val="22"/>
          <w:szCs w:val="22"/>
        </w:rPr>
        <w:t>.</w:t>
      </w:r>
      <w:r w:rsidRPr="007C7D7C">
        <w:rPr>
          <w:rStyle w:val="CommentReference"/>
          <w:rFonts w:asciiTheme="minorHAnsi" w:hAnsiTheme="minorHAnsi" w:cstheme="minorHAnsi"/>
          <w:sz w:val="22"/>
          <w:szCs w:val="22"/>
        </w:rPr>
        <w:t> </w:t>
      </w:r>
    </w:p>
    <w:p w14:paraId="4A9E9F37" w14:textId="1D82CCA4" w:rsidR="009F6F93"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As </w:t>
      </w:r>
      <w:r w:rsidR="006C332A" w:rsidRPr="007C7D7C">
        <w:rPr>
          <w:rFonts w:asciiTheme="minorHAnsi" w:hAnsiTheme="minorHAnsi" w:cstheme="minorHAnsi"/>
          <w:iCs/>
          <w:color w:val="000000" w:themeColor="text1"/>
          <w:sz w:val="22"/>
          <w:szCs w:val="22"/>
        </w:rPr>
        <w:t xml:space="preserve">set out in </w:t>
      </w:r>
      <w:r w:rsidR="00466531" w:rsidRPr="007C7D7C">
        <w:rPr>
          <w:rFonts w:asciiTheme="minorHAnsi" w:hAnsiTheme="minorHAnsi" w:cstheme="minorHAnsi"/>
          <w:iCs/>
          <w:color w:val="000000" w:themeColor="text1"/>
          <w:sz w:val="22"/>
          <w:szCs w:val="22"/>
        </w:rPr>
        <w:t>4.1.6</w:t>
      </w:r>
      <w:r w:rsidRPr="007C7D7C">
        <w:rPr>
          <w:rFonts w:asciiTheme="minorHAnsi" w:hAnsiTheme="minorHAnsi" w:cstheme="minorHAnsi"/>
          <w:iCs/>
          <w:color w:val="000000" w:themeColor="text1"/>
          <w:sz w:val="22"/>
          <w:szCs w:val="22"/>
        </w:rPr>
        <w:t>, a pass-through arrangement may be entered into in certain circumstances which moves away from some of the principles mentioned above.</w:t>
      </w:r>
    </w:p>
    <w:p w14:paraId="424EDB0B" w14:textId="4FF94D8A" w:rsidR="009F6F93"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 xml:space="preserve">may require any actuarial, legal, administration and other justifiable cost to be paid by the admission body.  </w:t>
      </w:r>
      <w:r w:rsidR="00AE68B9" w:rsidRPr="007C7D7C">
        <w:rPr>
          <w:rFonts w:asciiTheme="minorHAnsi" w:hAnsiTheme="minorHAnsi" w:cstheme="minorHAnsi"/>
          <w:iCs/>
          <w:color w:val="000000" w:themeColor="text1"/>
          <w:sz w:val="22"/>
          <w:szCs w:val="22"/>
        </w:rPr>
        <w:t>I</w:t>
      </w:r>
      <w:r w:rsidRPr="007C7D7C">
        <w:rPr>
          <w:rFonts w:asciiTheme="minorHAnsi" w:hAnsiTheme="minorHAnsi" w:cstheme="minorHAnsi"/>
          <w:iCs/>
          <w:color w:val="000000" w:themeColor="text1"/>
          <w:sz w:val="22"/>
          <w:szCs w:val="22"/>
        </w:rPr>
        <w:t xml:space="preserve">t may be agreed that these costs are </w:t>
      </w:r>
      <w:r w:rsidR="00AE68B9" w:rsidRPr="007C7D7C">
        <w:rPr>
          <w:rFonts w:asciiTheme="minorHAnsi" w:hAnsiTheme="minorHAnsi" w:cstheme="minorHAnsi"/>
          <w:iCs/>
          <w:color w:val="000000" w:themeColor="text1"/>
          <w:sz w:val="22"/>
          <w:szCs w:val="22"/>
        </w:rPr>
        <w:t xml:space="preserve">partly or wholly </w:t>
      </w:r>
      <w:r w:rsidRPr="007C7D7C">
        <w:rPr>
          <w:rFonts w:asciiTheme="minorHAnsi" w:hAnsiTheme="minorHAnsi" w:cstheme="minorHAnsi"/>
          <w:iCs/>
          <w:color w:val="000000" w:themeColor="text1"/>
          <w:sz w:val="22"/>
          <w:szCs w:val="22"/>
        </w:rPr>
        <w:t>paid for by the awarding authority (</w:t>
      </w:r>
      <w:r w:rsidR="00AE68B9" w:rsidRPr="007C7D7C">
        <w:rPr>
          <w:rFonts w:asciiTheme="minorHAnsi" w:hAnsiTheme="minorHAnsi" w:cstheme="minorHAnsi"/>
          <w:iCs/>
          <w:color w:val="000000" w:themeColor="text1"/>
          <w:sz w:val="22"/>
          <w:szCs w:val="22"/>
        </w:rPr>
        <w:t>if any)</w:t>
      </w:r>
      <w:r w:rsidR="00A61034" w:rsidRPr="007C7D7C">
        <w:rPr>
          <w:rFonts w:asciiTheme="minorHAnsi" w:hAnsiTheme="minorHAnsi" w:cstheme="minorHAnsi"/>
          <w:iCs/>
          <w:color w:val="000000" w:themeColor="text1"/>
          <w:sz w:val="22"/>
          <w:szCs w:val="22"/>
        </w:rPr>
        <w:t>.</w:t>
      </w:r>
    </w:p>
    <w:p w14:paraId="66361B92" w14:textId="1CD8EB32" w:rsidR="00836C4B"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 xml:space="preserve">will communicate the implications to the awarding authority </w:t>
      </w:r>
      <w:r w:rsidR="00AE68B9" w:rsidRPr="007C7D7C">
        <w:rPr>
          <w:rFonts w:asciiTheme="minorHAnsi" w:hAnsiTheme="minorHAnsi" w:cstheme="minorHAnsi"/>
          <w:iCs/>
          <w:color w:val="000000" w:themeColor="text1"/>
          <w:sz w:val="22"/>
          <w:szCs w:val="22"/>
        </w:rPr>
        <w:t xml:space="preserve">of a transfer </w:t>
      </w:r>
      <w:r w:rsidRPr="007C7D7C">
        <w:rPr>
          <w:rFonts w:asciiTheme="minorHAnsi" w:hAnsiTheme="minorHAnsi" w:cstheme="minorHAnsi"/>
          <w:iCs/>
          <w:color w:val="000000" w:themeColor="text1"/>
          <w:sz w:val="22"/>
          <w:szCs w:val="22"/>
        </w:rPr>
        <w:t>and may require the revision of the contribution rate payable by the awarding authority after the transfer occurs.</w:t>
      </w:r>
    </w:p>
    <w:p w14:paraId="44CCA36E" w14:textId="466571A7" w:rsidR="00836C4B"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 xml:space="preserve">reserves the right to require payment by the awarding authority of a lump sum contribution to cover any deficit in respect of transferees.  </w:t>
      </w:r>
    </w:p>
    <w:p w14:paraId="79A6824F" w14:textId="3CC5F3A7" w:rsidR="00236470" w:rsidRPr="007C7D7C" w:rsidRDefault="00236470"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will consider, in certain circumstances, amending the employer contribution rate between valuations, further information is set out in the Funding Strategy Statement.</w:t>
      </w:r>
    </w:p>
    <w:p w14:paraId="03E1F841" w14:textId="6D55D0EA" w:rsidR="00F819E0" w:rsidRPr="007C7D7C" w:rsidRDefault="00BC4073" w:rsidP="007C7D7C">
      <w:pPr>
        <w:pStyle w:val="Heading3Num"/>
        <w:tabs>
          <w:tab w:val="clear" w:pos="2127"/>
          <w:tab w:val="num" w:pos="1418"/>
        </w:tabs>
        <w:ind w:left="1276" w:hanging="1276"/>
      </w:pPr>
      <w:bookmarkStart w:id="10" w:name="_Toc80875368"/>
      <w:r w:rsidRPr="007C7D7C">
        <w:t>Pass through arrangements</w:t>
      </w:r>
      <w:bookmarkEnd w:id="10"/>
    </w:p>
    <w:p w14:paraId="0EFD8A4B" w14:textId="10301FC5" w:rsidR="00836C4B" w:rsidRPr="007C7D7C" w:rsidRDefault="001879AC"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In the case of a body admitted under Para 1(</w:t>
      </w:r>
      <w:r w:rsidR="00264FF7" w:rsidRPr="007C7D7C">
        <w:rPr>
          <w:rFonts w:asciiTheme="minorHAnsi" w:hAnsiTheme="minorHAnsi" w:cstheme="minorHAnsi"/>
          <w:iCs/>
          <w:color w:val="000000" w:themeColor="text1"/>
          <w:sz w:val="22"/>
          <w:szCs w:val="22"/>
        </w:rPr>
        <w:t>d</w:t>
      </w:r>
      <w:r w:rsidRPr="007C7D7C">
        <w:rPr>
          <w:rFonts w:asciiTheme="minorHAnsi" w:hAnsiTheme="minorHAnsi" w:cstheme="minorHAnsi"/>
          <w:iCs/>
          <w:color w:val="000000" w:themeColor="text1"/>
          <w:sz w:val="22"/>
          <w:szCs w:val="22"/>
        </w:rPr>
        <w:t>)</w:t>
      </w:r>
      <w:r w:rsidR="005B4BB1" w:rsidRPr="007C7D7C">
        <w:rPr>
          <w:rFonts w:asciiTheme="minorHAnsi" w:hAnsiTheme="minorHAnsi" w:cstheme="minorHAnsi"/>
          <w:color w:val="000000" w:themeColor="text1"/>
          <w:sz w:val="22"/>
          <w:szCs w:val="22"/>
        </w:rPr>
        <w:t xml:space="preserve"> of Part 3 of Schedule 2 to The Regulations (broadly speaking, </w:t>
      </w:r>
      <w:r w:rsidR="00640285" w:rsidRPr="007C7D7C">
        <w:rPr>
          <w:rFonts w:asciiTheme="minorHAnsi" w:hAnsiTheme="minorHAnsi" w:cstheme="minorHAnsi"/>
          <w:color w:val="000000" w:themeColor="text1"/>
          <w:sz w:val="22"/>
          <w:szCs w:val="22"/>
        </w:rPr>
        <w:t xml:space="preserve">those fulfilling a </w:t>
      </w:r>
      <w:r w:rsidR="005B4BB1" w:rsidRPr="007C7D7C">
        <w:rPr>
          <w:rFonts w:asciiTheme="minorHAnsi" w:hAnsiTheme="minorHAnsi" w:cstheme="minorHAnsi"/>
          <w:color w:val="000000" w:themeColor="text1"/>
          <w:sz w:val="22"/>
          <w:szCs w:val="22"/>
        </w:rPr>
        <w:t>contract)</w:t>
      </w:r>
      <w:r w:rsidRPr="007C7D7C">
        <w:rPr>
          <w:rFonts w:asciiTheme="minorHAnsi" w:hAnsiTheme="minorHAnsi" w:cstheme="minorHAnsi"/>
          <w:iCs/>
          <w:color w:val="000000" w:themeColor="text1"/>
          <w:sz w:val="22"/>
          <w:szCs w:val="22"/>
        </w:rPr>
        <w:t xml:space="preserve">, and where agreed by the awarding authority and the body, 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009F6F93" w:rsidRPr="007C7D7C">
        <w:rPr>
          <w:rFonts w:asciiTheme="minorHAnsi" w:hAnsiTheme="minorHAnsi" w:cstheme="minorHAnsi"/>
          <w:iCs/>
          <w:color w:val="000000" w:themeColor="text1"/>
          <w:sz w:val="22"/>
          <w:szCs w:val="22"/>
        </w:rPr>
        <w:t xml:space="preserve">may allow that employer to enter into a pass-through arrangement. </w:t>
      </w:r>
    </w:p>
    <w:p w14:paraId="2FAF06F6" w14:textId="77777777" w:rsidR="009F6F93" w:rsidRPr="007C7D7C" w:rsidRDefault="009F6F93" w:rsidP="007C7D7C">
      <w:pPr>
        <w:spacing w:after="180"/>
        <w:ind w:left="556" w:firstLine="720"/>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Under the pass-through arrangement, the admission body:</w:t>
      </w:r>
    </w:p>
    <w:p w14:paraId="68AAC92E" w14:textId="77777777"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 xml:space="preserve">will </w:t>
      </w:r>
      <w:r w:rsidR="001879AC" w:rsidRPr="00191D77">
        <w:rPr>
          <w:rFonts w:asciiTheme="minorHAnsi" w:hAnsiTheme="minorHAnsi" w:cstheme="minorHAnsi"/>
          <w:color w:val="000000" w:themeColor="text1"/>
          <w:szCs w:val="22"/>
        </w:rPr>
        <w:t>either have a fixed contribution rate, or its</w:t>
      </w:r>
      <w:r w:rsidRPr="00191D77">
        <w:rPr>
          <w:rFonts w:asciiTheme="minorHAnsi" w:hAnsiTheme="minorHAnsi" w:cstheme="minorHAnsi"/>
          <w:color w:val="000000" w:themeColor="text1"/>
          <w:szCs w:val="22"/>
        </w:rPr>
        <w:t xml:space="preserve"> contribution rate will vary in line with the </w:t>
      </w:r>
      <w:r w:rsidR="001879AC" w:rsidRPr="00191D77">
        <w:rPr>
          <w:rFonts w:asciiTheme="minorHAnsi" w:hAnsiTheme="minorHAnsi" w:cstheme="minorHAnsi"/>
          <w:color w:val="000000" w:themeColor="text1"/>
          <w:szCs w:val="22"/>
        </w:rPr>
        <w:t xml:space="preserve">awarding authority’s </w:t>
      </w:r>
      <w:r w:rsidRPr="00191D77">
        <w:rPr>
          <w:rFonts w:asciiTheme="minorHAnsi" w:hAnsiTheme="minorHAnsi" w:cstheme="minorHAnsi"/>
          <w:color w:val="000000" w:themeColor="text1"/>
          <w:szCs w:val="22"/>
        </w:rPr>
        <w:t>rate;</w:t>
      </w:r>
    </w:p>
    <w:p w14:paraId="7AF4E44A" w14:textId="213F8017"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 xml:space="preserve">may be required to pay additional contributions </w:t>
      </w:r>
      <w:r w:rsidR="00191906" w:rsidRPr="00191D77">
        <w:rPr>
          <w:rFonts w:asciiTheme="minorHAnsi" w:hAnsiTheme="minorHAnsi" w:cstheme="minorHAnsi"/>
          <w:color w:val="000000" w:themeColor="text1"/>
          <w:szCs w:val="22"/>
        </w:rPr>
        <w:t xml:space="preserve">in excess of its employer contribution rate </w:t>
      </w:r>
      <w:r w:rsidR="003839D1" w:rsidRPr="00191D77">
        <w:rPr>
          <w:rFonts w:asciiTheme="minorHAnsi" w:hAnsiTheme="minorHAnsi" w:cstheme="minorHAnsi"/>
          <w:color w:val="000000" w:themeColor="text1"/>
          <w:szCs w:val="22"/>
        </w:rPr>
        <w:t xml:space="preserve">to reflect the impact of </w:t>
      </w:r>
      <w:r w:rsidRPr="00191D77">
        <w:rPr>
          <w:rFonts w:asciiTheme="minorHAnsi" w:hAnsiTheme="minorHAnsi" w:cstheme="minorHAnsi"/>
          <w:color w:val="000000" w:themeColor="text1"/>
          <w:szCs w:val="22"/>
        </w:rPr>
        <w:t xml:space="preserve">excessive pay awards to the admission body’s own employees; </w:t>
      </w:r>
    </w:p>
    <w:p w14:paraId="1FE6F162" w14:textId="77777777"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 xml:space="preserve">may be required to provide a </w:t>
      </w:r>
      <w:r w:rsidR="00D66BB7" w:rsidRPr="00191D77">
        <w:rPr>
          <w:rFonts w:asciiTheme="minorHAnsi" w:hAnsiTheme="minorHAnsi" w:cstheme="minorHAnsi"/>
          <w:color w:val="000000" w:themeColor="text1"/>
          <w:szCs w:val="22"/>
        </w:rPr>
        <w:t xml:space="preserve">limited </w:t>
      </w:r>
      <w:r w:rsidRPr="00191D77">
        <w:rPr>
          <w:rFonts w:asciiTheme="minorHAnsi" w:hAnsiTheme="minorHAnsi" w:cstheme="minorHAnsi"/>
          <w:color w:val="000000" w:themeColor="text1"/>
          <w:szCs w:val="22"/>
        </w:rPr>
        <w:t>bond or indemnity in respect of redundancy and any other risks identified by the scheme employer; and</w:t>
      </w:r>
    </w:p>
    <w:p w14:paraId="79C6F1DF" w14:textId="3157D6D5" w:rsidR="009F6F93"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will</w:t>
      </w:r>
      <w:r w:rsidR="00CD33C9" w:rsidRPr="00191D77">
        <w:rPr>
          <w:rFonts w:asciiTheme="minorHAnsi" w:hAnsiTheme="minorHAnsi" w:cstheme="minorHAnsi"/>
          <w:color w:val="000000" w:themeColor="text1"/>
          <w:szCs w:val="22"/>
        </w:rPr>
        <w:t xml:space="preserve"> continue to</w:t>
      </w:r>
      <w:r w:rsidRPr="00191D77">
        <w:rPr>
          <w:rFonts w:asciiTheme="minorHAnsi" w:hAnsiTheme="minorHAnsi" w:cstheme="minorHAnsi"/>
          <w:color w:val="000000" w:themeColor="text1"/>
          <w:szCs w:val="22"/>
        </w:rPr>
        <w:t xml:space="preserve"> be required </w:t>
      </w:r>
      <w:r w:rsidR="001879AC" w:rsidRPr="00191D77">
        <w:rPr>
          <w:rFonts w:asciiTheme="minorHAnsi" w:hAnsiTheme="minorHAnsi" w:cstheme="minorHAnsi"/>
          <w:color w:val="000000" w:themeColor="text1"/>
          <w:szCs w:val="22"/>
        </w:rPr>
        <w:t xml:space="preserve">to </w:t>
      </w:r>
      <w:r w:rsidRPr="00191D77">
        <w:rPr>
          <w:rFonts w:asciiTheme="minorHAnsi" w:hAnsiTheme="minorHAnsi" w:cstheme="minorHAnsi"/>
          <w:color w:val="000000" w:themeColor="text1"/>
          <w:szCs w:val="22"/>
        </w:rPr>
        <w:t xml:space="preserve">pay strain costs in respect of non-ill-health early retirements. </w:t>
      </w:r>
    </w:p>
    <w:p w14:paraId="11D9834C" w14:textId="77777777" w:rsidR="00F37FAC" w:rsidRPr="00191D77" w:rsidRDefault="00F37FAC" w:rsidP="00191D77">
      <w:pPr>
        <w:pStyle w:val="ListParagraph"/>
        <w:numPr>
          <w:ilvl w:val="0"/>
          <w:numId w:val="0"/>
        </w:numPr>
        <w:autoSpaceDE w:val="0"/>
        <w:autoSpaceDN w:val="0"/>
        <w:adjustRightInd w:val="0"/>
        <w:ind w:left="1211"/>
        <w:rPr>
          <w:rFonts w:asciiTheme="minorHAnsi" w:hAnsiTheme="minorHAnsi" w:cstheme="minorHAnsi"/>
          <w:color w:val="000000" w:themeColor="text1"/>
          <w:szCs w:val="22"/>
        </w:rPr>
      </w:pPr>
    </w:p>
    <w:p w14:paraId="6039FDD5" w14:textId="1ED17E7A" w:rsidR="009F6F93"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In the event of cessation of the admission agreement</w:t>
      </w:r>
      <w:r w:rsidR="00F711E1" w:rsidRPr="007C7D7C">
        <w:rPr>
          <w:rFonts w:asciiTheme="minorHAnsi" w:hAnsiTheme="minorHAnsi" w:cstheme="minorHAnsi"/>
          <w:iCs/>
          <w:color w:val="000000" w:themeColor="text1"/>
          <w:sz w:val="22"/>
          <w:szCs w:val="22"/>
        </w:rPr>
        <w:t xml:space="preserve">, </w:t>
      </w:r>
      <w:r w:rsidR="0092212C" w:rsidRPr="007C7D7C">
        <w:rPr>
          <w:rFonts w:asciiTheme="minorHAnsi" w:hAnsiTheme="minorHAnsi" w:cstheme="minorHAnsi"/>
          <w:iCs/>
          <w:color w:val="000000" w:themeColor="text1"/>
          <w:sz w:val="22"/>
          <w:szCs w:val="22"/>
        </w:rPr>
        <w:t>that agreement will clarify the position re any</w:t>
      </w:r>
      <w:r w:rsidRPr="007C7D7C">
        <w:rPr>
          <w:rFonts w:asciiTheme="minorHAnsi" w:hAnsiTheme="minorHAnsi" w:cstheme="minorHAnsi"/>
          <w:iCs/>
          <w:color w:val="000000" w:themeColor="text1"/>
          <w:sz w:val="22"/>
          <w:szCs w:val="22"/>
        </w:rPr>
        <w:t xml:space="preserve"> cessation </w:t>
      </w:r>
      <w:r w:rsidR="00E9207F" w:rsidRPr="007C7D7C">
        <w:rPr>
          <w:rFonts w:asciiTheme="minorHAnsi" w:hAnsiTheme="minorHAnsi" w:cstheme="minorHAnsi"/>
          <w:iCs/>
          <w:color w:val="000000" w:themeColor="text1"/>
          <w:sz w:val="22"/>
          <w:szCs w:val="22"/>
        </w:rPr>
        <w:t>debt / exit credit payment, etc</w:t>
      </w:r>
      <w:r w:rsidR="00D07F97" w:rsidRPr="007C7D7C">
        <w:rPr>
          <w:rFonts w:asciiTheme="minorHAnsi" w:hAnsiTheme="minorHAnsi" w:cstheme="minorHAnsi"/>
          <w:iCs/>
          <w:color w:val="000000" w:themeColor="text1"/>
          <w:sz w:val="22"/>
          <w:szCs w:val="22"/>
        </w:rPr>
        <w:t xml:space="preserve">. </w:t>
      </w:r>
      <w:r w:rsidR="000D3000" w:rsidRPr="007C7D7C">
        <w:rPr>
          <w:rFonts w:asciiTheme="minorHAnsi" w:hAnsiTheme="minorHAnsi" w:cstheme="minorHAnsi"/>
          <w:iCs/>
          <w:color w:val="000000" w:themeColor="text1"/>
          <w:sz w:val="22"/>
          <w:szCs w:val="22"/>
        </w:rPr>
        <w:t>However,</w:t>
      </w:r>
      <w:r w:rsidR="00D07F97" w:rsidRPr="007C7D7C">
        <w:rPr>
          <w:rFonts w:asciiTheme="minorHAnsi" w:hAnsiTheme="minorHAnsi" w:cstheme="minorHAnsi"/>
          <w:iCs/>
          <w:color w:val="000000" w:themeColor="text1"/>
          <w:sz w:val="22"/>
          <w:szCs w:val="22"/>
        </w:rPr>
        <w:t xml:space="preserve"> it should be noted that normally in a pass-through case there would be no assignment of assets or liabilities to the </w:t>
      </w:r>
      <w:r w:rsidR="0092487E" w:rsidRPr="007C7D7C">
        <w:rPr>
          <w:rFonts w:asciiTheme="minorHAnsi" w:hAnsiTheme="minorHAnsi" w:cstheme="minorHAnsi"/>
          <w:iCs/>
          <w:color w:val="000000" w:themeColor="text1"/>
          <w:sz w:val="22"/>
          <w:szCs w:val="22"/>
        </w:rPr>
        <w:t>employer</w:t>
      </w:r>
      <w:r w:rsidR="00F711E1" w:rsidRPr="007C7D7C">
        <w:rPr>
          <w:rFonts w:asciiTheme="minorHAnsi" w:hAnsiTheme="minorHAnsi" w:cstheme="minorHAnsi"/>
          <w:iCs/>
          <w:color w:val="000000" w:themeColor="text1"/>
          <w:sz w:val="22"/>
          <w:szCs w:val="22"/>
        </w:rPr>
        <w:t>.</w:t>
      </w:r>
    </w:p>
    <w:p w14:paraId="449DCDAE" w14:textId="2B9D150E" w:rsidR="009F6F93" w:rsidRPr="007C7D7C" w:rsidRDefault="00BC4073" w:rsidP="007C7D7C">
      <w:pPr>
        <w:pStyle w:val="Heading3Num"/>
        <w:tabs>
          <w:tab w:val="clear" w:pos="2127"/>
        </w:tabs>
        <w:ind w:left="1276" w:hanging="1276"/>
      </w:pPr>
      <w:bookmarkStart w:id="11" w:name="_Toc80875369"/>
      <w:r w:rsidRPr="007C7D7C">
        <w:t xml:space="preserve">Ongoing </w:t>
      </w:r>
      <w:r w:rsidR="00CA511F">
        <w:t>m</w:t>
      </w:r>
      <w:r w:rsidRPr="007C7D7C">
        <w:t>onitoring of admission bodies</w:t>
      </w:r>
      <w:bookmarkEnd w:id="11"/>
      <w:r w:rsidRPr="007C7D7C">
        <w:t xml:space="preserve"> </w:t>
      </w:r>
    </w:p>
    <w:p w14:paraId="74E86CA4" w14:textId="2D6578C8" w:rsidR="00836C4B"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During the period of the admission agreement, the level of risk in relation to any</w:t>
      </w:r>
      <w:r w:rsidR="006A6E85" w:rsidRPr="007C7D7C">
        <w:rPr>
          <w:rFonts w:asciiTheme="minorHAnsi" w:hAnsiTheme="minorHAnsi" w:cstheme="minorHAnsi"/>
          <w:iCs/>
          <w:color w:val="000000" w:themeColor="text1"/>
          <w:sz w:val="22"/>
          <w:szCs w:val="22"/>
        </w:rPr>
        <w:t xml:space="preserve"> guarantees,</w:t>
      </w:r>
      <w:r w:rsidRPr="007C7D7C">
        <w:rPr>
          <w:rFonts w:asciiTheme="minorHAnsi" w:hAnsiTheme="minorHAnsi" w:cstheme="minorHAnsi"/>
          <w:iCs/>
          <w:color w:val="000000" w:themeColor="text1"/>
          <w:sz w:val="22"/>
          <w:szCs w:val="22"/>
        </w:rPr>
        <w:t xml:space="preserve"> bonds or indemnities in place will be reassessed </w:t>
      </w:r>
      <w:r w:rsidR="00C4593E" w:rsidRPr="007C7D7C">
        <w:rPr>
          <w:rFonts w:asciiTheme="minorHAnsi" w:hAnsiTheme="minorHAnsi" w:cstheme="minorHAnsi"/>
          <w:iCs/>
          <w:color w:val="000000" w:themeColor="text1"/>
          <w:sz w:val="22"/>
          <w:szCs w:val="22"/>
        </w:rPr>
        <w:t>at regular intervals</w:t>
      </w:r>
      <w:r w:rsidRPr="007C7D7C">
        <w:rPr>
          <w:rFonts w:asciiTheme="minorHAnsi" w:hAnsiTheme="minorHAnsi" w:cstheme="minorHAnsi"/>
          <w:iCs/>
          <w:color w:val="000000" w:themeColor="text1"/>
          <w:sz w:val="22"/>
          <w:szCs w:val="22"/>
        </w:rPr>
        <w:t xml:space="preserve"> and the relevant admission bodies will be required to renew their bond or indemnity appropriately. </w:t>
      </w:r>
      <w:r w:rsidR="00F711E1" w:rsidRPr="007C7D7C">
        <w:rPr>
          <w:rFonts w:asciiTheme="minorHAnsi" w:hAnsiTheme="minorHAnsi" w:cstheme="minorHAnsi"/>
          <w:iCs/>
          <w:color w:val="000000" w:themeColor="text1"/>
          <w:sz w:val="22"/>
          <w:szCs w:val="22"/>
        </w:rPr>
        <w:t xml:space="preserve">As </w:t>
      </w:r>
      <w:r w:rsidR="005C463E" w:rsidRPr="007C7D7C">
        <w:rPr>
          <w:rFonts w:asciiTheme="minorHAnsi" w:hAnsiTheme="minorHAnsi" w:cstheme="minorHAnsi"/>
          <w:iCs/>
          <w:color w:val="000000" w:themeColor="text1"/>
          <w:sz w:val="22"/>
          <w:szCs w:val="22"/>
        </w:rPr>
        <w:t xml:space="preserve">set out in 4.1.5 </w:t>
      </w:r>
      <w:r w:rsidR="00F711E1" w:rsidRPr="007C7D7C">
        <w:rPr>
          <w:rFonts w:asciiTheme="minorHAnsi" w:hAnsiTheme="minorHAnsi" w:cstheme="minorHAnsi"/>
          <w:iCs/>
          <w:color w:val="000000" w:themeColor="text1"/>
          <w:sz w:val="22"/>
          <w:szCs w:val="22"/>
        </w:rPr>
        <w:t xml:space="preserve">above, </w:t>
      </w:r>
      <w:r w:rsidR="005C463E" w:rsidRPr="007C7D7C">
        <w:rPr>
          <w:rFonts w:asciiTheme="minorHAnsi" w:hAnsiTheme="minorHAnsi" w:cstheme="minorHAnsi"/>
          <w:iCs/>
          <w:color w:val="000000" w:themeColor="text1"/>
          <w:sz w:val="22"/>
          <w:szCs w:val="22"/>
        </w:rPr>
        <w:t>c</w:t>
      </w:r>
      <w:r w:rsidRPr="007C7D7C">
        <w:rPr>
          <w:rFonts w:asciiTheme="minorHAnsi" w:hAnsiTheme="minorHAnsi" w:cstheme="minorHAnsi"/>
          <w:iCs/>
          <w:color w:val="000000" w:themeColor="text1"/>
          <w:sz w:val="22"/>
          <w:szCs w:val="22"/>
        </w:rPr>
        <w:t xml:space="preserve">ontribution rates will be reviewed at </w:t>
      </w:r>
      <w:r w:rsidR="00F711E1" w:rsidRPr="007C7D7C">
        <w:rPr>
          <w:rFonts w:asciiTheme="minorHAnsi" w:hAnsiTheme="minorHAnsi" w:cstheme="minorHAnsi"/>
          <w:iCs/>
          <w:color w:val="000000" w:themeColor="text1"/>
          <w:sz w:val="22"/>
          <w:szCs w:val="22"/>
        </w:rPr>
        <w:t>triennial actuarial</w:t>
      </w:r>
      <w:r w:rsidRPr="007C7D7C">
        <w:rPr>
          <w:rFonts w:asciiTheme="minorHAnsi" w:hAnsiTheme="minorHAnsi" w:cstheme="minorHAnsi"/>
          <w:iCs/>
          <w:color w:val="000000" w:themeColor="text1"/>
          <w:sz w:val="22"/>
          <w:szCs w:val="22"/>
        </w:rPr>
        <w:t xml:space="preserve"> valuations</w:t>
      </w:r>
      <w:r w:rsidR="00714B4B" w:rsidRPr="007C7D7C">
        <w:rPr>
          <w:rFonts w:asciiTheme="minorHAnsi" w:hAnsiTheme="minorHAnsi" w:cstheme="minorHAnsi"/>
          <w:iCs/>
          <w:color w:val="000000" w:themeColor="text1"/>
          <w:sz w:val="22"/>
          <w:szCs w:val="22"/>
        </w:rPr>
        <w:t xml:space="preserve">, however, in certain circumstances 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00714B4B" w:rsidRPr="007C7D7C">
        <w:rPr>
          <w:rFonts w:asciiTheme="minorHAnsi" w:hAnsiTheme="minorHAnsi" w:cstheme="minorHAnsi"/>
          <w:iCs/>
          <w:color w:val="000000" w:themeColor="text1"/>
          <w:sz w:val="22"/>
          <w:szCs w:val="22"/>
        </w:rPr>
        <w:t>will consider amending the employer contribution rate between valuations</w:t>
      </w:r>
      <w:r w:rsidRPr="007C7D7C">
        <w:rPr>
          <w:rFonts w:asciiTheme="minorHAnsi" w:hAnsiTheme="minorHAnsi" w:cstheme="minorHAnsi"/>
          <w:iCs/>
          <w:color w:val="000000" w:themeColor="text1"/>
          <w:sz w:val="22"/>
          <w:szCs w:val="22"/>
        </w:rPr>
        <w:t xml:space="preserve">.  </w:t>
      </w:r>
      <w:r w:rsidR="00714B4B" w:rsidRPr="007C7D7C">
        <w:rPr>
          <w:rFonts w:asciiTheme="minorHAnsi" w:hAnsiTheme="minorHAnsi" w:cstheme="minorHAnsi"/>
          <w:iCs/>
          <w:color w:val="000000" w:themeColor="text1"/>
          <w:sz w:val="22"/>
          <w:szCs w:val="22"/>
        </w:rPr>
        <w:t>T</w:t>
      </w:r>
      <w:r w:rsidR="00EE3B11" w:rsidRPr="007C7D7C">
        <w:rPr>
          <w:rFonts w:asciiTheme="minorHAnsi" w:hAnsiTheme="minorHAnsi" w:cstheme="minorHAnsi"/>
          <w:iCs/>
          <w:color w:val="000000" w:themeColor="text1"/>
          <w:sz w:val="22"/>
          <w:szCs w:val="22"/>
        </w:rPr>
        <w:t xml:space="preserve">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reserves the right to review contribution rates for admission bodies annually or more frequently, particularly within the final three years before the expected date of termination of the admission agreement.</w:t>
      </w:r>
    </w:p>
    <w:p w14:paraId="139CC704" w14:textId="77777777" w:rsidR="00836C4B"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Where an employer acts as a guarantor to an admission body or bodies, an assessment will be carried out every three years to establish the level of risk being borne by the employer in respect of its guarantees and to ensure that the strength of the guarantee continues to be to the satisfaction of the administering authority. </w:t>
      </w:r>
    </w:p>
    <w:p w14:paraId="008BAC9D" w14:textId="412F737C" w:rsidR="009F6F93" w:rsidRPr="007C7D7C" w:rsidRDefault="009F6F93"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Furthermore, 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 xml:space="preserve">will carry out ongoing monitoring and/or put in place processes to assist with ongoing monitoring.  </w:t>
      </w:r>
      <w:r w:rsidR="007B02C1" w:rsidRPr="007C7D7C">
        <w:rPr>
          <w:rFonts w:asciiTheme="minorHAnsi" w:hAnsiTheme="minorHAnsi" w:cstheme="minorHAnsi"/>
          <w:iCs/>
          <w:color w:val="000000" w:themeColor="text1"/>
          <w:sz w:val="22"/>
          <w:szCs w:val="22"/>
        </w:rPr>
        <w:t>As per 4.1.5.9 above</w:t>
      </w:r>
      <w:r w:rsidRPr="007C7D7C">
        <w:rPr>
          <w:rFonts w:asciiTheme="minorHAnsi" w:hAnsiTheme="minorHAnsi" w:cstheme="minorHAnsi"/>
          <w:iCs/>
          <w:color w:val="000000" w:themeColor="text1"/>
          <w:sz w:val="22"/>
          <w:szCs w:val="22"/>
        </w:rPr>
        <w:t xml:space="preserve">, 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may review the employer contribution rate (i.e. out</w:t>
      </w:r>
      <w:r w:rsidR="00C0037A" w:rsidRPr="007C7D7C">
        <w:rPr>
          <w:rFonts w:asciiTheme="minorHAnsi" w:hAnsiTheme="minorHAnsi" w:cstheme="minorHAnsi"/>
          <w:iCs/>
          <w:color w:val="000000" w:themeColor="text1"/>
          <w:sz w:val="22"/>
          <w:szCs w:val="22"/>
        </w:rPr>
        <w:t>side</w:t>
      </w:r>
      <w:r w:rsidR="00B46F43" w:rsidRPr="007C7D7C">
        <w:rPr>
          <w:rFonts w:asciiTheme="minorHAnsi" w:hAnsiTheme="minorHAnsi" w:cstheme="minorHAnsi"/>
          <w:iCs/>
          <w:color w:val="000000" w:themeColor="text1"/>
          <w:sz w:val="22"/>
          <w:szCs w:val="22"/>
        </w:rPr>
        <w:t xml:space="preserve"> of</w:t>
      </w:r>
      <w:r w:rsidRPr="007C7D7C">
        <w:rPr>
          <w:rFonts w:asciiTheme="minorHAnsi" w:hAnsiTheme="minorHAnsi" w:cstheme="minorHAnsi"/>
          <w:iCs/>
          <w:color w:val="000000" w:themeColor="text1"/>
          <w:sz w:val="22"/>
          <w:szCs w:val="22"/>
        </w:rPr>
        <w:t xml:space="preserve"> the formal triennial </w:t>
      </w:r>
      <w:r w:rsidR="00714B4B" w:rsidRPr="007C7D7C">
        <w:rPr>
          <w:rFonts w:asciiTheme="minorHAnsi" w:hAnsiTheme="minorHAnsi" w:cstheme="minorHAnsi"/>
          <w:iCs/>
          <w:color w:val="000000" w:themeColor="text1"/>
          <w:sz w:val="22"/>
          <w:szCs w:val="22"/>
        </w:rPr>
        <w:t xml:space="preserve">actuarial </w:t>
      </w:r>
      <w:r w:rsidR="00C64E40">
        <w:rPr>
          <w:rFonts w:asciiTheme="minorHAnsi" w:hAnsiTheme="minorHAnsi" w:cstheme="minorHAnsi"/>
          <w:iCs/>
          <w:color w:val="000000" w:themeColor="text1"/>
          <w:sz w:val="22"/>
          <w:szCs w:val="22"/>
        </w:rPr>
        <w:t>valuation cycle).</w:t>
      </w:r>
    </w:p>
    <w:p w14:paraId="0969B371" w14:textId="56B6ECDF" w:rsidR="009F6F93" w:rsidRPr="007C7D7C" w:rsidRDefault="005369E7" w:rsidP="007C7D7C">
      <w:pPr>
        <w:pStyle w:val="Heading3Num"/>
        <w:tabs>
          <w:tab w:val="clear" w:pos="2127"/>
          <w:tab w:val="num" w:pos="1276"/>
        </w:tabs>
        <w:ind w:hanging="2127"/>
      </w:pPr>
      <w:bookmarkStart w:id="12" w:name="_Toc80875370"/>
      <w:r w:rsidRPr="007C7D7C">
        <w:t>Cessation terms and requirements</w:t>
      </w:r>
      <w:bookmarkEnd w:id="12"/>
      <w:r w:rsidRPr="007C7D7C">
        <w:t xml:space="preserve"> </w:t>
      </w:r>
    </w:p>
    <w:p w14:paraId="3715B691" w14:textId="33B68C99" w:rsidR="009F6F93" w:rsidRPr="007C7D7C" w:rsidRDefault="00C0037A" w:rsidP="007C7D7C">
      <w:pPr>
        <w:spacing w:after="180"/>
        <w:ind w:left="1276"/>
        <w:rPr>
          <w:rFonts w:asciiTheme="minorHAnsi" w:hAnsiTheme="minorHAnsi" w:cstheme="minorHAnsi"/>
          <w:iCs/>
          <w:color w:val="000000" w:themeColor="text1"/>
          <w:sz w:val="22"/>
          <w:szCs w:val="22"/>
        </w:rPr>
      </w:pPr>
      <w:r w:rsidRPr="007C7D7C">
        <w:rPr>
          <w:rFonts w:asciiTheme="minorHAnsi" w:hAnsiTheme="minorHAnsi" w:cstheme="minorHAnsi"/>
          <w:iCs/>
          <w:color w:val="000000" w:themeColor="text1"/>
          <w:sz w:val="22"/>
          <w:szCs w:val="22"/>
        </w:rPr>
        <w:t xml:space="preserve">The </w:t>
      </w:r>
      <w:r w:rsidR="00522CC6" w:rsidRPr="007C7D7C">
        <w:rPr>
          <w:rFonts w:asciiTheme="minorHAnsi" w:hAnsiTheme="minorHAnsi" w:cstheme="minorHAnsi"/>
          <w:color w:val="000000" w:themeColor="text1"/>
          <w:sz w:val="22"/>
          <w:szCs w:val="22"/>
        </w:rPr>
        <w:t>Administering Authority</w:t>
      </w:r>
      <w:r w:rsidR="00522CC6" w:rsidRPr="007C7D7C" w:rsidDel="00522CC6">
        <w:rPr>
          <w:rFonts w:asciiTheme="minorHAnsi" w:hAnsiTheme="minorHAnsi" w:cstheme="minorHAnsi"/>
          <w:iCs/>
          <w:color w:val="000000" w:themeColor="text1"/>
          <w:sz w:val="22"/>
          <w:szCs w:val="22"/>
        </w:rPr>
        <w:t xml:space="preserve"> </w:t>
      </w:r>
      <w:r w:rsidRPr="007C7D7C">
        <w:rPr>
          <w:rFonts w:asciiTheme="minorHAnsi" w:hAnsiTheme="minorHAnsi" w:cstheme="minorHAnsi"/>
          <w:iCs/>
          <w:color w:val="000000" w:themeColor="text1"/>
          <w:sz w:val="22"/>
          <w:szCs w:val="22"/>
        </w:rPr>
        <w:t>reserves the right</w:t>
      </w:r>
      <w:r w:rsidR="009F6F93" w:rsidRPr="007C7D7C">
        <w:rPr>
          <w:rFonts w:asciiTheme="minorHAnsi" w:hAnsiTheme="minorHAnsi" w:cstheme="minorHAnsi"/>
          <w:iCs/>
          <w:color w:val="000000" w:themeColor="text1"/>
          <w:sz w:val="22"/>
          <w:szCs w:val="22"/>
        </w:rPr>
        <w:t xml:space="preserve"> for </w:t>
      </w:r>
      <w:r w:rsidR="005369E7" w:rsidRPr="007C7D7C">
        <w:rPr>
          <w:rFonts w:asciiTheme="minorHAnsi" w:hAnsiTheme="minorHAnsi" w:cstheme="minorHAnsi"/>
          <w:iCs/>
          <w:color w:val="000000" w:themeColor="text1"/>
          <w:sz w:val="22"/>
          <w:szCs w:val="22"/>
        </w:rPr>
        <w:t>the</w:t>
      </w:r>
      <w:r w:rsidR="00105D5F" w:rsidRPr="007C7D7C">
        <w:rPr>
          <w:rFonts w:asciiTheme="minorHAnsi" w:hAnsiTheme="minorHAnsi" w:cstheme="minorHAnsi"/>
          <w:iCs/>
          <w:color w:val="000000" w:themeColor="text1"/>
          <w:sz w:val="22"/>
          <w:szCs w:val="22"/>
        </w:rPr>
        <w:t xml:space="preserve"> admission</w:t>
      </w:r>
      <w:r w:rsidR="009F6F93" w:rsidRPr="007C7D7C">
        <w:rPr>
          <w:rFonts w:asciiTheme="minorHAnsi" w:hAnsiTheme="minorHAnsi" w:cstheme="minorHAnsi"/>
          <w:iCs/>
          <w:color w:val="000000" w:themeColor="text1"/>
          <w:sz w:val="22"/>
          <w:szCs w:val="22"/>
        </w:rPr>
        <w:t xml:space="preserve"> agreement to be terminated in any of, but not limited to, the following circumstances</w:t>
      </w:r>
      <w:r w:rsidR="004F1635" w:rsidRPr="007C7D7C">
        <w:rPr>
          <w:rFonts w:asciiTheme="minorHAnsi" w:hAnsiTheme="minorHAnsi" w:cstheme="minorHAnsi"/>
          <w:iCs/>
          <w:color w:val="000000" w:themeColor="text1"/>
          <w:sz w:val="22"/>
          <w:szCs w:val="22"/>
        </w:rPr>
        <w:t xml:space="preserve"> and </w:t>
      </w:r>
      <w:r w:rsidR="009750E1" w:rsidRPr="007C7D7C">
        <w:rPr>
          <w:rFonts w:asciiTheme="minorHAnsi" w:hAnsiTheme="minorHAnsi" w:cstheme="minorHAnsi"/>
          <w:iCs/>
          <w:color w:val="000000" w:themeColor="text1"/>
          <w:sz w:val="22"/>
          <w:szCs w:val="22"/>
        </w:rPr>
        <w:t>following unsuccessful attempts to enable the admission body to remedy the sit</w:t>
      </w:r>
      <w:r w:rsidR="00D44751" w:rsidRPr="007C7D7C">
        <w:rPr>
          <w:rFonts w:asciiTheme="minorHAnsi" w:hAnsiTheme="minorHAnsi" w:cstheme="minorHAnsi"/>
          <w:iCs/>
          <w:color w:val="000000" w:themeColor="text1"/>
          <w:sz w:val="22"/>
          <w:szCs w:val="22"/>
        </w:rPr>
        <w:t>uation, where applicable</w:t>
      </w:r>
      <w:r w:rsidR="009F6F93" w:rsidRPr="007C7D7C">
        <w:rPr>
          <w:rFonts w:asciiTheme="minorHAnsi" w:hAnsiTheme="minorHAnsi" w:cstheme="minorHAnsi"/>
          <w:iCs/>
          <w:color w:val="000000" w:themeColor="text1"/>
          <w:sz w:val="22"/>
          <w:szCs w:val="22"/>
        </w:rPr>
        <w:t>:</w:t>
      </w:r>
    </w:p>
    <w:p w14:paraId="5709A6B6" w14:textId="7D3C9269"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 xml:space="preserve">Where the admission body is not paying monies </w:t>
      </w:r>
      <w:r w:rsidR="00984458" w:rsidRPr="00191D77">
        <w:rPr>
          <w:rFonts w:asciiTheme="minorHAnsi" w:hAnsiTheme="minorHAnsi" w:cstheme="minorHAnsi"/>
          <w:color w:val="000000" w:themeColor="text1"/>
          <w:szCs w:val="22"/>
        </w:rPr>
        <w:t>due to the Fund within the period required by the Fund</w:t>
      </w:r>
      <w:r w:rsidRPr="00191D77">
        <w:rPr>
          <w:rFonts w:asciiTheme="minorHAnsi" w:hAnsiTheme="minorHAnsi" w:cstheme="minorHAnsi"/>
          <w:color w:val="000000" w:themeColor="text1"/>
          <w:szCs w:val="22"/>
        </w:rPr>
        <w:t>;</w:t>
      </w:r>
    </w:p>
    <w:p w14:paraId="284D87F5" w14:textId="77777777"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Where the admission body is not meeting administrative requirements relating to the provision of information;</w:t>
      </w:r>
    </w:p>
    <w:p w14:paraId="416594CD" w14:textId="17C9B544" w:rsidR="009F6F93"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 xml:space="preserve">Where the admission body is not meeting its requirement to </w:t>
      </w:r>
      <w:r w:rsidR="00984458" w:rsidRPr="00191D77">
        <w:rPr>
          <w:rFonts w:asciiTheme="minorHAnsi" w:hAnsiTheme="minorHAnsi" w:cstheme="minorHAnsi"/>
          <w:color w:val="000000" w:themeColor="text1"/>
          <w:szCs w:val="22"/>
        </w:rPr>
        <w:t>renew, adjust</w:t>
      </w:r>
      <w:r w:rsidRPr="00191D77">
        <w:rPr>
          <w:rFonts w:asciiTheme="minorHAnsi" w:hAnsiTheme="minorHAnsi" w:cstheme="minorHAnsi"/>
          <w:color w:val="000000" w:themeColor="text1"/>
          <w:szCs w:val="22"/>
        </w:rPr>
        <w:t xml:space="preserve"> or review any bond/indemnity or </w:t>
      </w:r>
      <w:r w:rsidR="00984458" w:rsidRPr="00191D77">
        <w:rPr>
          <w:rFonts w:asciiTheme="minorHAnsi" w:hAnsiTheme="minorHAnsi" w:cstheme="minorHAnsi"/>
          <w:color w:val="000000" w:themeColor="text1"/>
          <w:szCs w:val="22"/>
        </w:rPr>
        <w:t xml:space="preserve">to confirm an appropriate alternative </w:t>
      </w:r>
      <w:r w:rsidRPr="00191D77">
        <w:rPr>
          <w:rFonts w:asciiTheme="minorHAnsi" w:hAnsiTheme="minorHAnsi" w:cstheme="minorHAnsi"/>
          <w:color w:val="000000" w:themeColor="text1"/>
          <w:szCs w:val="22"/>
        </w:rPr>
        <w:t>guarantor;</w:t>
      </w:r>
    </w:p>
    <w:p w14:paraId="710A4B4B" w14:textId="77777777" w:rsidR="007E7DDB" w:rsidRPr="00191D77" w:rsidRDefault="007E7DDB"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Where the admission body breaches any other obligations under the admission agreement, not covered above;</w:t>
      </w:r>
    </w:p>
    <w:p w14:paraId="32F77FBF" w14:textId="3E3FB5C3" w:rsidR="007E7DDB" w:rsidRPr="00191D77" w:rsidRDefault="009F6F93"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91D77">
        <w:rPr>
          <w:rFonts w:asciiTheme="minorHAnsi" w:hAnsiTheme="minorHAnsi" w:cstheme="minorHAnsi"/>
          <w:color w:val="000000" w:themeColor="text1"/>
          <w:szCs w:val="22"/>
        </w:rPr>
        <w:t>Where no</w:t>
      </w:r>
      <w:r w:rsidR="00DD552B" w:rsidRPr="00191D77">
        <w:rPr>
          <w:rFonts w:asciiTheme="minorHAnsi" w:hAnsiTheme="minorHAnsi" w:cstheme="minorHAnsi"/>
          <w:color w:val="000000" w:themeColor="text1"/>
          <w:szCs w:val="22"/>
        </w:rPr>
        <w:t xml:space="preserve"> </w:t>
      </w:r>
      <w:r w:rsidRPr="00191D77">
        <w:rPr>
          <w:rFonts w:asciiTheme="minorHAnsi" w:hAnsiTheme="minorHAnsi" w:cstheme="minorHAnsi"/>
          <w:color w:val="000000" w:themeColor="text1"/>
          <w:szCs w:val="22"/>
        </w:rPr>
        <w:t>active members exist</w:t>
      </w:r>
      <w:r w:rsidR="00984458" w:rsidRPr="00191D77">
        <w:rPr>
          <w:rFonts w:asciiTheme="minorHAnsi" w:hAnsiTheme="minorHAnsi" w:cstheme="minorHAnsi"/>
          <w:color w:val="000000" w:themeColor="text1"/>
          <w:szCs w:val="22"/>
        </w:rPr>
        <w:t xml:space="preserve"> (</w:t>
      </w:r>
      <w:r w:rsidR="007E7DDB" w:rsidRPr="00191D77">
        <w:rPr>
          <w:rFonts w:asciiTheme="minorHAnsi" w:hAnsiTheme="minorHAnsi" w:cstheme="minorHAnsi"/>
          <w:color w:val="000000" w:themeColor="text1"/>
          <w:szCs w:val="22"/>
        </w:rPr>
        <w:t xml:space="preserve">and it is not expected that the admission body will acquire one or more active Fund members within the </w:t>
      </w:r>
      <w:r w:rsidR="000D3000" w:rsidRPr="00191D77">
        <w:rPr>
          <w:rFonts w:asciiTheme="minorHAnsi" w:hAnsiTheme="minorHAnsi" w:cstheme="minorHAnsi"/>
          <w:color w:val="000000" w:themeColor="text1"/>
          <w:szCs w:val="22"/>
        </w:rPr>
        <w:t>three-year</w:t>
      </w:r>
      <w:r w:rsidR="007E7DDB" w:rsidRPr="00191D77">
        <w:rPr>
          <w:rFonts w:asciiTheme="minorHAnsi" w:hAnsiTheme="minorHAnsi" w:cstheme="minorHAnsi"/>
          <w:color w:val="000000" w:themeColor="text1"/>
          <w:szCs w:val="22"/>
        </w:rPr>
        <w:t xml:space="preserve"> period following the cessation event</w:t>
      </w:r>
      <w:r w:rsidR="00EE77DE" w:rsidRPr="00191D77">
        <w:rPr>
          <w:rFonts w:asciiTheme="minorHAnsi" w:hAnsiTheme="minorHAnsi" w:cstheme="minorHAnsi"/>
          <w:color w:val="000000" w:themeColor="text1"/>
          <w:szCs w:val="22"/>
        </w:rPr>
        <w:t>.</w:t>
      </w:r>
      <w:r w:rsidR="007E7DDB" w:rsidRPr="00191D77">
        <w:rPr>
          <w:rFonts w:asciiTheme="minorHAnsi" w:hAnsiTheme="minorHAnsi" w:cstheme="minorHAnsi"/>
          <w:color w:val="000000" w:themeColor="text1"/>
          <w:szCs w:val="22"/>
        </w:rPr>
        <w:t xml:space="preserve"> </w:t>
      </w:r>
      <w:r w:rsidR="00EE77DE" w:rsidRPr="00191D77">
        <w:rPr>
          <w:rFonts w:asciiTheme="minorHAnsi" w:hAnsiTheme="minorHAnsi" w:cstheme="minorHAnsi"/>
          <w:color w:val="000000" w:themeColor="text1"/>
          <w:szCs w:val="22"/>
        </w:rPr>
        <w:t>I</w:t>
      </w:r>
      <w:r w:rsidR="007E7DDB" w:rsidRPr="00191D77">
        <w:rPr>
          <w:rFonts w:asciiTheme="minorHAnsi" w:hAnsiTheme="minorHAnsi" w:cstheme="minorHAnsi"/>
          <w:color w:val="000000" w:themeColor="text1"/>
          <w:szCs w:val="22"/>
        </w:rPr>
        <w:t>n this situation the</w:t>
      </w:r>
      <w:r w:rsidR="000645AA" w:rsidRPr="00191D77">
        <w:rPr>
          <w:rFonts w:asciiTheme="minorHAnsi" w:hAnsiTheme="minorHAnsi" w:cstheme="minorHAnsi"/>
          <w:color w:val="000000" w:themeColor="text1"/>
          <w:szCs w:val="22"/>
        </w:rPr>
        <w:t xml:space="preserve"> </w:t>
      </w:r>
      <w:r w:rsidR="007E7DDB" w:rsidRPr="00191D77">
        <w:rPr>
          <w:rFonts w:asciiTheme="minorHAnsi" w:hAnsiTheme="minorHAnsi" w:cstheme="minorHAnsi"/>
          <w:color w:val="000000" w:themeColor="text1"/>
          <w:szCs w:val="22"/>
        </w:rPr>
        <w:t>Administering Authority has discretion to defer taking action for up to three years)</w:t>
      </w:r>
      <w:r w:rsidRPr="00191D77">
        <w:rPr>
          <w:rFonts w:asciiTheme="minorHAnsi" w:hAnsiTheme="minorHAnsi" w:cstheme="minorHAnsi"/>
          <w:color w:val="000000" w:themeColor="text1"/>
          <w:szCs w:val="22"/>
        </w:rPr>
        <w:t xml:space="preserve">; </w:t>
      </w:r>
    </w:p>
    <w:p w14:paraId="26E8201B" w14:textId="77777777" w:rsidR="00191D77" w:rsidRPr="00191D77" w:rsidRDefault="009F6F93" w:rsidP="00EC7ACE">
      <w:pPr>
        <w:pStyle w:val="ListParagraph"/>
        <w:numPr>
          <w:ilvl w:val="0"/>
          <w:numId w:val="7"/>
        </w:numPr>
        <w:autoSpaceDE w:val="0"/>
        <w:autoSpaceDN w:val="0"/>
        <w:adjustRightInd w:val="0"/>
        <w:rPr>
          <w:rFonts w:asciiTheme="minorHAnsi" w:hAnsiTheme="minorHAnsi" w:cstheme="minorHAnsi"/>
          <w:iCs/>
          <w:color w:val="000000" w:themeColor="text1"/>
          <w:szCs w:val="22"/>
        </w:rPr>
      </w:pPr>
      <w:r w:rsidRPr="00191D77">
        <w:rPr>
          <w:rFonts w:asciiTheme="minorHAnsi" w:hAnsiTheme="minorHAnsi" w:cstheme="minorHAnsi"/>
          <w:color w:val="000000" w:themeColor="text1"/>
          <w:szCs w:val="22"/>
        </w:rPr>
        <w:t xml:space="preserve">Where the employer </w:t>
      </w:r>
      <w:r w:rsidR="00714B4B" w:rsidRPr="00191D77">
        <w:rPr>
          <w:rFonts w:asciiTheme="minorHAnsi" w:hAnsiTheme="minorHAnsi" w:cstheme="minorHAnsi"/>
          <w:color w:val="000000" w:themeColor="text1"/>
          <w:szCs w:val="22"/>
        </w:rPr>
        <w:t xml:space="preserve">becomes insolvent, </w:t>
      </w:r>
      <w:r w:rsidRPr="00191D77">
        <w:rPr>
          <w:rFonts w:asciiTheme="minorHAnsi" w:hAnsiTheme="minorHAnsi" w:cstheme="minorHAnsi"/>
          <w:color w:val="000000" w:themeColor="text1"/>
          <w:szCs w:val="22"/>
        </w:rPr>
        <w:t>is wound up, merged or ceases to exist</w:t>
      </w:r>
      <w:r w:rsidR="007E7DDB" w:rsidRPr="00191D77">
        <w:rPr>
          <w:rFonts w:asciiTheme="minorHAnsi" w:hAnsiTheme="minorHAnsi" w:cstheme="minorHAnsi"/>
          <w:color w:val="000000" w:themeColor="text1"/>
          <w:szCs w:val="22"/>
        </w:rPr>
        <w:t>; or</w:t>
      </w:r>
    </w:p>
    <w:p w14:paraId="2469B4A9" w14:textId="183E3E48" w:rsidR="009F6F93" w:rsidRPr="00191D77" w:rsidRDefault="007E7DDB" w:rsidP="00EC7ACE">
      <w:pPr>
        <w:pStyle w:val="ListParagraph"/>
        <w:numPr>
          <w:ilvl w:val="0"/>
          <w:numId w:val="7"/>
        </w:numPr>
        <w:spacing w:after="180"/>
        <w:rPr>
          <w:rFonts w:asciiTheme="minorHAnsi" w:hAnsiTheme="minorHAnsi" w:cstheme="minorHAnsi"/>
          <w:iCs/>
          <w:color w:val="000000" w:themeColor="text1"/>
          <w:szCs w:val="22"/>
        </w:rPr>
      </w:pPr>
      <w:r w:rsidRPr="00191D77">
        <w:rPr>
          <w:rFonts w:asciiTheme="minorHAnsi" w:hAnsiTheme="minorHAnsi" w:cstheme="minorHAnsi"/>
          <w:color w:val="000000" w:themeColor="text1"/>
          <w:szCs w:val="22"/>
        </w:rPr>
        <w:t xml:space="preserve">On </w:t>
      </w:r>
      <w:r w:rsidRPr="00191D77">
        <w:rPr>
          <w:rFonts w:asciiTheme="minorHAnsi" w:hAnsiTheme="minorHAnsi" w:cstheme="minorHAnsi"/>
          <w:iCs/>
          <w:color w:val="000000" w:themeColor="text1"/>
          <w:szCs w:val="22"/>
        </w:rPr>
        <w:t>termination of a deferred debt agreemen</w:t>
      </w:r>
      <w:r w:rsidR="009D49C6" w:rsidRPr="00191D77">
        <w:rPr>
          <w:rFonts w:asciiTheme="minorHAnsi" w:hAnsiTheme="minorHAnsi" w:cstheme="minorHAnsi"/>
          <w:iCs/>
          <w:color w:val="000000" w:themeColor="text1"/>
          <w:szCs w:val="22"/>
        </w:rPr>
        <w:t>t.</w:t>
      </w:r>
    </w:p>
    <w:p w14:paraId="06448207" w14:textId="20C284EA" w:rsidR="009F6F93" w:rsidRPr="00191D77" w:rsidRDefault="005369E7" w:rsidP="00191D77">
      <w:pPr>
        <w:pStyle w:val="Heading3Num"/>
        <w:tabs>
          <w:tab w:val="clear" w:pos="2127"/>
          <w:tab w:val="num" w:pos="1276"/>
        </w:tabs>
        <w:ind w:hanging="2127"/>
      </w:pPr>
      <w:bookmarkStart w:id="13" w:name="_Toc80875371"/>
      <w:r w:rsidRPr="00191D77">
        <w:t xml:space="preserve">Future </w:t>
      </w:r>
      <w:r w:rsidR="00CA511F" w:rsidRPr="00191D77">
        <w:t>c</w:t>
      </w:r>
      <w:r w:rsidRPr="00191D77">
        <w:t>essation</w:t>
      </w:r>
      <w:bookmarkEnd w:id="13"/>
      <w:r w:rsidRPr="00191D77">
        <w:t xml:space="preserve"> </w:t>
      </w:r>
    </w:p>
    <w:p w14:paraId="0D3CF6BA" w14:textId="1DDA3C61" w:rsidR="009F6F93" w:rsidRPr="00565013" w:rsidRDefault="009F6F93" w:rsidP="007C7D7C">
      <w:pPr>
        <w:spacing w:after="180"/>
        <w:ind w:left="1276"/>
        <w:rPr>
          <w:rFonts w:asciiTheme="minorHAnsi" w:hAnsiTheme="minorHAnsi" w:cstheme="minorHAnsi"/>
          <w:color w:val="000000" w:themeColor="text1"/>
          <w:sz w:val="22"/>
          <w:szCs w:val="22"/>
        </w:rPr>
      </w:pPr>
      <w:r w:rsidRPr="00565013">
        <w:rPr>
          <w:rFonts w:asciiTheme="minorHAnsi" w:hAnsiTheme="minorHAnsi" w:cstheme="minorHAnsi"/>
          <w:iCs/>
          <w:color w:val="000000" w:themeColor="text1"/>
          <w:sz w:val="22"/>
          <w:szCs w:val="22"/>
        </w:rPr>
        <w:t xml:space="preserve">Where an admission agreement for a body </w:t>
      </w:r>
      <w:r w:rsidR="005369E7" w:rsidRPr="00565013">
        <w:rPr>
          <w:rFonts w:asciiTheme="minorHAnsi" w:hAnsiTheme="minorHAnsi" w:cstheme="minorHAnsi"/>
          <w:iCs/>
          <w:color w:val="000000" w:themeColor="text1"/>
          <w:sz w:val="22"/>
          <w:szCs w:val="22"/>
        </w:rPr>
        <w:t xml:space="preserve">that </w:t>
      </w:r>
      <w:r w:rsidRPr="00565013">
        <w:rPr>
          <w:rFonts w:asciiTheme="minorHAnsi" w:hAnsiTheme="minorHAnsi" w:cstheme="minorHAnsi"/>
          <w:iCs/>
          <w:color w:val="000000" w:themeColor="text1"/>
          <w:sz w:val="22"/>
          <w:szCs w:val="22"/>
        </w:rPr>
        <w:t xml:space="preserve">has no </w:t>
      </w:r>
      <w:r w:rsidR="00C0037A" w:rsidRPr="00565013">
        <w:rPr>
          <w:rFonts w:asciiTheme="minorHAnsi" w:hAnsiTheme="minorHAnsi" w:cstheme="minorHAnsi"/>
          <w:iCs/>
          <w:color w:val="000000" w:themeColor="text1"/>
          <w:sz w:val="22"/>
          <w:szCs w:val="22"/>
        </w:rPr>
        <w:t>awarding authority</w:t>
      </w:r>
      <w:r w:rsidRPr="00565013">
        <w:rPr>
          <w:rFonts w:asciiTheme="minorHAnsi" w:hAnsiTheme="minorHAnsi" w:cstheme="minorHAnsi"/>
          <w:iCs/>
          <w:color w:val="000000" w:themeColor="text1"/>
          <w:sz w:val="22"/>
          <w:szCs w:val="22"/>
        </w:rPr>
        <w:t xml:space="preserve"> or central government guarantor is </w:t>
      </w:r>
      <w:r w:rsidR="00773033" w:rsidRPr="00565013">
        <w:rPr>
          <w:rFonts w:asciiTheme="minorHAnsi" w:hAnsiTheme="minorHAnsi" w:cstheme="minorHAnsi"/>
          <w:iCs/>
          <w:color w:val="000000" w:themeColor="text1"/>
          <w:sz w:val="22"/>
          <w:szCs w:val="22"/>
        </w:rPr>
        <w:t>closed to new entrants</w:t>
      </w:r>
      <w:r w:rsidRPr="00565013">
        <w:rPr>
          <w:rFonts w:asciiTheme="minorHAnsi" w:hAnsiTheme="minorHAnsi" w:cstheme="minorHAnsi"/>
          <w:iCs/>
          <w:color w:val="000000" w:themeColor="text1"/>
          <w:sz w:val="22"/>
          <w:szCs w:val="22"/>
        </w:rPr>
        <w:t xml:space="preserve">, the </w:t>
      </w:r>
      <w:r w:rsidR="0054305F" w:rsidRPr="00565013">
        <w:rPr>
          <w:rFonts w:asciiTheme="minorHAnsi" w:hAnsiTheme="minorHAnsi" w:cstheme="minorHAnsi"/>
          <w:color w:val="000000" w:themeColor="text1"/>
          <w:sz w:val="22"/>
          <w:szCs w:val="22"/>
        </w:rPr>
        <w:t>Administering Authority</w:t>
      </w:r>
      <w:r w:rsidR="0054305F" w:rsidRPr="00565013" w:rsidDel="0054305F">
        <w:rPr>
          <w:rFonts w:asciiTheme="minorHAnsi" w:hAnsiTheme="minorHAnsi" w:cstheme="minorHAnsi"/>
          <w:iCs/>
          <w:color w:val="000000" w:themeColor="text1"/>
          <w:sz w:val="22"/>
          <w:szCs w:val="22"/>
        </w:rPr>
        <w:t xml:space="preserve"> </w:t>
      </w:r>
      <w:r w:rsidR="00773033" w:rsidRPr="00565013">
        <w:rPr>
          <w:rFonts w:asciiTheme="minorHAnsi" w:hAnsiTheme="minorHAnsi" w:cstheme="minorHAnsi"/>
          <w:iCs/>
          <w:color w:val="000000" w:themeColor="text1"/>
          <w:sz w:val="22"/>
          <w:szCs w:val="22"/>
        </w:rPr>
        <w:t xml:space="preserve">policy is </w:t>
      </w:r>
      <w:r w:rsidRPr="00565013">
        <w:rPr>
          <w:rFonts w:asciiTheme="minorHAnsi" w:hAnsiTheme="minorHAnsi" w:cstheme="minorHAnsi"/>
          <w:iCs/>
          <w:color w:val="000000" w:themeColor="text1"/>
          <w:sz w:val="22"/>
          <w:szCs w:val="22"/>
        </w:rPr>
        <w:t xml:space="preserve">to set contribution rates by reference to liabilities valued on </w:t>
      </w:r>
      <w:r w:rsidR="00C0037A" w:rsidRPr="00565013">
        <w:rPr>
          <w:rFonts w:asciiTheme="minorHAnsi" w:hAnsiTheme="minorHAnsi" w:cstheme="minorHAnsi"/>
          <w:iCs/>
          <w:color w:val="000000" w:themeColor="text1"/>
          <w:sz w:val="22"/>
          <w:szCs w:val="22"/>
        </w:rPr>
        <w:t xml:space="preserve">the termination basis (as per </w:t>
      </w:r>
      <w:r w:rsidR="00EE27E0" w:rsidRPr="00565013">
        <w:rPr>
          <w:rFonts w:asciiTheme="minorHAnsi" w:hAnsiTheme="minorHAnsi" w:cstheme="minorHAnsi"/>
          <w:iCs/>
          <w:color w:val="000000" w:themeColor="text1"/>
          <w:sz w:val="22"/>
          <w:szCs w:val="22"/>
        </w:rPr>
        <w:t xml:space="preserve">4.1.12 </w:t>
      </w:r>
      <w:r w:rsidR="00C0037A" w:rsidRPr="00565013">
        <w:rPr>
          <w:rFonts w:asciiTheme="minorHAnsi" w:hAnsiTheme="minorHAnsi" w:cstheme="minorHAnsi"/>
          <w:iCs/>
          <w:color w:val="000000" w:themeColor="text1"/>
          <w:sz w:val="22"/>
          <w:szCs w:val="22"/>
        </w:rPr>
        <w:t>below</w:t>
      </w:r>
      <w:r w:rsidRPr="00565013">
        <w:rPr>
          <w:rFonts w:asciiTheme="minorHAnsi" w:hAnsiTheme="minorHAnsi" w:cstheme="minorHAnsi"/>
          <w:iCs/>
          <w:color w:val="000000" w:themeColor="text1"/>
          <w:sz w:val="22"/>
          <w:szCs w:val="22"/>
        </w:rPr>
        <w:t xml:space="preserve">).  The </w:t>
      </w:r>
      <w:r w:rsidR="00FA44AB" w:rsidRPr="00565013">
        <w:rPr>
          <w:rFonts w:asciiTheme="minorHAnsi" w:hAnsiTheme="minorHAnsi" w:cstheme="minorHAnsi"/>
          <w:iCs/>
          <w:color w:val="000000" w:themeColor="text1"/>
          <w:sz w:val="22"/>
          <w:szCs w:val="22"/>
        </w:rPr>
        <w:t>purpose of this policy is</w:t>
      </w:r>
      <w:r w:rsidRPr="00565013">
        <w:rPr>
          <w:rFonts w:asciiTheme="minorHAnsi" w:hAnsiTheme="minorHAnsi" w:cstheme="minorHAnsi"/>
          <w:iCs/>
          <w:color w:val="000000" w:themeColor="text1"/>
          <w:sz w:val="22"/>
          <w:szCs w:val="22"/>
        </w:rPr>
        <w:t xml:space="preserve"> to protect other employers in the Fund.  This policy will increase regular contributions </w:t>
      </w:r>
      <w:r w:rsidR="00FA44AB" w:rsidRPr="00565013">
        <w:rPr>
          <w:rFonts w:asciiTheme="minorHAnsi" w:hAnsiTheme="minorHAnsi" w:cstheme="minorHAnsi"/>
          <w:iCs/>
          <w:color w:val="000000" w:themeColor="text1"/>
          <w:sz w:val="22"/>
          <w:szCs w:val="22"/>
        </w:rPr>
        <w:t xml:space="preserve">for such admission bodies </w:t>
      </w:r>
      <w:r w:rsidRPr="00565013">
        <w:rPr>
          <w:rFonts w:asciiTheme="minorHAnsi" w:hAnsiTheme="minorHAnsi" w:cstheme="minorHAnsi"/>
          <w:iCs/>
          <w:color w:val="000000" w:themeColor="text1"/>
          <w:sz w:val="22"/>
          <w:szCs w:val="22"/>
        </w:rPr>
        <w:t xml:space="preserve">and reduce, but not entirely eliminate, the possibility of a final deficit payment being required </w:t>
      </w:r>
      <w:r w:rsidR="00C0037A" w:rsidRPr="00565013">
        <w:rPr>
          <w:rFonts w:asciiTheme="minorHAnsi" w:hAnsiTheme="minorHAnsi" w:cstheme="minorHAnsi"/>
          <w:iCs/>
          <w:color w:val="000000" w:themeColor="text1"/>
          <w:sz w:val="22"/>
          <w:szCs w:val="22"/>
        </w:rPr>
        <w:t>on termination.</w:t>
      </w:r>
      <w:r w:rsidR="006151DF" w:rsidRPr="00565013">
        <w:rPr>
          <w:rFonts w:asciiTheme="minorHAnsi" w:hAnsiTheme="minorHAnsi" w:cstheme="minorHAnsi"/>
          <w:iCs/>
          <w:color w:val="000000" w:themeColor="text1"/>
          <w:sz w:val="22"/>
          <w:szCs w:val="22"/>
        </w:rPr>
        <w:t xml:space="preserve"> However</w:t>
      </w:r>
      <w:r w:rsidR="005C4DDE" w:rsidRPr="00565013">
        <w:rPr>
          <w:rFonts w:asciiTheme="minorHAnsi" w:hAnsiTheme="minorHAnsi" w:cstheme="minorHAnsi"/>
          <w:iCs/>
          <w:color w:val="000000" w:themeColor="text1"/>
          <w:sz w:val="22"/>
          <w:szCs w:val="22"/>
        </w:rPr>
        <w:t>,</w:t>
      </w:r>
      <w:r w:rsidR="006151DF" w:rsidRPr="00565013">
        <w:rPr>
          <w:rFonts w:asciiTheme="minorHAnsi" w:hAnsiTheme="minorHAnsi" w:cstheme="minorHAnsi"/>
          <w:iCs/>
          <w:color w:val="000000" w:themeColor="text1"/>
          <w:sz w:val="22"/>
          <w:szCs w:val="22"/>
        </w:rPr>
        <w:t xml:space="preserve"> it will also assist the admission body in the affordability of its eventual cessation debt.</w:t>
      </w:r>
    </w:p>
    <w:p w14:paraId="76D1E92D" w14:textId="0EF53AB7" w:rsidR="00CA7D51" w:rsidRPr="00DE6575" w:rsidRDefault="00CA7D51" w:rsidP="00DE6575">
      <w:pPr>
        <w:pStyle w:val="Heading3Num"/>
        <w:tabs>
          <w:tab w:val="clear" w:pos="2127"/>
          <w:tab w:val="num" w:pos="1276"/>
        </w:tabs>
        <w:ind w:hanging="2127"/>
      </w:pPr>
      <w:bookmarkStart w:id="14" w:name="_Toc80875372"/>
      <w:r w:rsidRPr="00DE6575">
        <w:t xml:space="preserve">Deferral of </w:t>
      </w:r>
      <w:r w:rsidR="00CA511F">
        <w:t>c</w:t>
      </w:r>
      <w:r w:rsidRPr="00DE6575">
        <w:t>essation</w:t>
      </w:r>
      <w:r w:rsidR="00EF5AD2" w:rsidRPr="00DE6575">
        <w:t xml:space="preserve"> debt</w:t>
      </w:r>
      <w:bookmarkEnd w:id="14"/>
    </w:p>
    <w:p w14:paraId="6DEB589C" w14:textId="4B1608B4" w:rsidR="00CA7D51" w:rsidRPr="00DE6575" w:rsidRDefault="00CA7D51" w:rsidP="00DE6575">
      <w:pPr>
        <w:spacing w:after="180"/>
        <w:ind w:left="1276"/>
        <w:rPr>
          <w:rFonts w:asciiTheme="minorHAnsi" w:hAnsiTheme="minorHAnsi" w:cstheme="minorHAnsi"/>
          <w:bCs/>
          <w:color w:val="000000" w:themeColor="text1"/>
          <w:sz w:val="22"/>
          <w:szCs w:val="22"/>
        </w:rPr>
      </w:pPr>
      <w:r w:rsidRPr="00DE6575">
        <w:rPr>
          <w:rFonts w:asciiTheme="minorHAnsi" w:hAnsiTheme="minorHAnsi" w:cstheme="minorHAnsi"/>
          <w:bCs/>
          <w:color w:val="000000" w:themeColor="text1"/>
          <w:sz w:val="22"/>
          <w:szCs w:val="22"/>
        </w:rPr>
        <w:t xml:space="preserve">Where an admission </w:t>
      </w:r>
      <w:r w:rsidR="001F221A" w:rsidRPr="00DE6575">
        <w:rPr>
          <w:rFonts w:asciiTheme="minorHAnsi" w:hAnsiTheme="minorHAnsi" w:cstheme="minorHAnsi"/>
          <w:bCs/>
          <w:color w:val="000000" w:themeColor="text1"/>
          <w:sz w:val="22"/>
          <w:szCs w:val="22"/>
        </w:rPr>
        <w:t>body</w:t>
      </w:r>
      <w:r w:rsidRPr="00DE6575">
        <w:rPr>
          <w:rFonts w:asciiTheme="minorHAnsi" w:hAnsiTheme="minorHAnsi" w:cstheme="minorHAnsi"/>
          <w:bCs/>
          <w:color w:val="000000" w:themeColor="text1"/>
          <w:sz w:val="22"/>
          <w:szCs w:val="22"/>
        </w:rPr>
        <w:t xml:space="preserve"> has ceased from participating in the </w:t>
      </w:r>
      <w:r w:rsidR="00A2001C" w:rsidRPr="00DE6575">
        <w:rPr>
          <w:rFonts w:asciiTheme="minorHAnsi" w:hAnsiTheme="minorHAnsi" w:cstheme="minorHAnsi"/>
          <w:bCs/>
          <w:color w:val="000000" w:themeColor="text1"/>
          <w:sz w:val="22"/>
          <w:szCs w:val="22"/>
        </w:rPr>
        <w:t>Fund but</w:t>
      </w:r>
      <w:r w:rsidRPr="00DE6575">
        <w:rPr>
          <w:rFonts w:asciiTheme="minorHAnsi" w:hAnsiTheme="minorHAnsi" w:cstheme="minorHAnsi"/>
          <w:bCs/>
          <w:color w:val="000000" w:themeColor="text1"/>
          <w:sz w:val="22"/>
          <w:szCs w:val="22"/>
        </w:rPr>
        <w:t xml:space="preserve"> is expected to have one or more </w:t>
      </w:r>
      <w:r w:rsidR="0014115F" w:rsidRPr="00DE6575">
        <w:rPr>
          <w:rFonts w:asciiTheme="minorHAnsi" w:hAnsiTheme="minorHAnsi" w:cstheme="minorHAnsi"/>
          <w:bCs/>
          <w:color w:val="000000" w:themeColor="text1"/>
          <w:sz w:val="22"/>
          <w:szCs w:val="22"/>
        </w:rPr>
        <w:t xml:space="preserve">new </w:t>
      </w:r>
      <w:r w:rsidRPr="00DE6575">
        <w:rPr>
          <w:rFonts w:asciiTheme="minorHAnsi" w:hAnsiTheme="minorHAnsi" w:cstheme="minorHAnsi"/>
          <w:bCs/>
          <w:color w:val="000000" w:themeColor="text1"/>
          <w:sz w:val="22"/>
          <w:szCs w:val="22"/>
        </w:rPr>
        <w:t xml:space="preserve">active Fund members within the </w:t>
      </w:r>
      <w:r w:rsidR="000D3000" w:rsidRPr="00DE6575">
        <w:rPr>
          <w:rFonts w:asciiTheme="minorHAnsi" w:hAnsiTheme="minorHAnsi" w:cstheme="minorHAnsi"/>
          <w:bCs/>
          <w:color w:val="000000" w:themeColor="text1"/>
          <w:sz w:val="22"/>
          <w:szCs w:val="22"/>
        </w:rPr>
        <w:t>three-year</w:t>
      </w:r>
      <w:r w:rsidRPr="00DE6575">
        <w:rPr>
          <w:rFonts w:asciiTheme="minorHAnsi" w:hAnsiTheme="minorHAnsi" w:cstheme="minorHAnsi"/>
          <w:bCs/>
          <w:color w:val="000000" w:themeColor="text1"/>
          <w:sz w:val="22"/>
          <w:szCs w:val="22"/>
        </w:rPr>
        <w:t xml:space="preserve"> period following the cessation event, the </w:t>
      </w:r>
      <w:r w:rsidR="0054305F" w:rsidRPr="00DE6575">
        <w:rPr>
          <w:rFonts w:asciiTheme="minorHAnsi" w:hAnsiTheme="minorHAnsi" w:cstheme="minorHAnsi"/>
          <w:color w:val="000000" w:themeColor="text1"/>
          <w:sz w:val="22"/>
          <w:szCs w:val="22"/>
        </w:rPr>
        <w:t>Administering Authority</w:t>
      </w:r>
      <w:r w:rsidR="0054305F" w:rsidRPr="00DE6575" w:rsidDel="0054305F">
        <w:rPr>
          <w:rFonts w:asciiTheme="minorHAnsi" w:hAnsiTheme="minorHAnsi" w:cstheme="minorHAnsi"/>
          <w:bCs/>
          <w:color w:val="000000" w:themeColor="text1"/>
          <w:sz w:val="22"/>
          <w:szCs w:val="22"/>
        </w:rPr>
        <w:t xml:space="preserve"> </w:t>
      </w:r>
      <w:r w:rsidRPr="00DE6575">
        <w:rPr>
          <w:rFonts w:asciiTheme="minorHAnsi" w:hAnsiTheme="minorHAnsi" w:cstheme="minorHAnsi"/>
          <w:bCs/>
          <w:color w:val="000000" w:themeColor="text1"/>
          <w:sz w:val="22"/>
          <w:szCs w:val="22"/>
        </w:rPr>
        <w:t xml:space="preserve">has the discretion to suspend </w:t>
      </w:r>
      <w:r w:rsidR="00EF5AD2" w:rsidRPr="00DE6575">
        <w:rPr>
          <w:rFonts w:asciiTheme="minorHAnsi" w:hAnsiTheme="minorHAnsi" w:cstheme="minorHAnsi"/>
          <w:bCs/>
          <w:color w:val="000000" w:themeColor="text1"/>
          <w:sz w:val="22"/>
          <w:szCs w:val="22"/>
        </w:rPr>
        <w:t xml:space="preserve">payment of </w:t>
      </w:r>
      <w:r w:rsidRPr="00DE6575">
        <w:rPr>
          <w:rFonts w:asciiTheme="minorHAnsi" w:hAnsiTheme="minorHAnsi" w:cstheme="minorHAnsi"/>
          <w:bCs/>
          <w:color w:val="000000" w:themeColor="text1"/>
          <w:sz w:val="22"/>
          <w:szCs w:val="22"/>
        </w:rPr>
        <w:t xml:space="preserve">the cessation </w:t>
      </w:r>
      <w:r w:rsidR="00CB62A5" w:rsidRPr="00DE6575">
        <w:rPr>
          <w:rFonts w:asciiTheme="minorHAnsi" w:hAnsiTheme="minorHAnsi" w:cstheme="minorHAnsi"/>
          <w:bCs/>
          <w:color w:val="000000" w:themeColor="text1"/>
          <w:sz w:val="22"/>
          <w:szCs w:val="22"/>
        </w:rPr>
        <w:t xml:space="preserve">debt </w:t>
      </w:r>
      <w:r w:rsidRPr="00DE6575">
        <w:rPr>
          <w:rFonts w:asciiTheme="minorHAnsi" w:hAnsiTheme="minorHAnsi" w:cstheme="minorHAnsi"/>
          <w:bCs/>
          <w:color w:val="000000" w:themeColor="text1"/>
          <w:sz w:val="22"/>
          <w:szCs w:val="22"/>
        </w:rPr>
        <w:t xml:space="preserve">for an agreed period of time. Where approved, the </w:t>
      </w:r>
      <w:r w:rsidR="0054305F" w:rsidRPr="00DE6575">
        <w:rPr>
          <w:rFonts w:asciiTheme="minorHAnsi" w:hAnsiTheme="minorHAnsi" w:cstheme="minorHAnsi"/>
          <w:color w:val="000000" w:themeColor="text1"/>
          <w:sz w:val="22"/>
          <w:szCs w:val="22"/>
        </w:rPr>
        <w:t>Administering Authority</w:t>
      </w:r>
      <w:r w:rsidR="0054305F" w:rsidRPr="00DE6575" w:rsidDel="0054305F">
        <w:rPr>
          <w:rFonts w:asciiTheme="minorHAnsi" w:hAnsiTheme="minorHAnsi" w:cstheme="minorHAnsi"/>
          <w:bCs/>
          <w:color w:val="000000" w:themeColor="text1"/>
          <w:sz w:val="22"/>
          <w:szCs w:val="22"/>
        </w:rPr>
        <w:t xml:space="preserve"> </w:t>
      </w:r>
      <w:r w:rsidRPr="00DE6575">
        <w:rPr>
          <w:rFonts w:asciiTheme="minorHAnsi" w:hAnsiTheme="minorHAnsi" w:cstheme="minorHAnsi"/>
          <w:bCs/>
          <w:color w:val="000000" w:themeColor="text1"/>
          <w:sz w:val="22"/>
          <w:szCs w:val="22"/>
        </w:rPr>
        <w:t xml:space="preserve">will liaise directly with the employer and confirm the contribution rate requirements to be paid during the period of </w:t>
      </w:r>
      <w:r w:rsidR="00CB62A5" w:rsidRPr="00DE6575">
        <w:rPr>
          <w:rFonts w:asciiTheme="minorHAnsi" w:hAnsiTheme="minorHAnsi" w:cstheme="minorHAnsi"/>
          <w:bCs/>
          <w:color w:val="000000" w:themeColor="text1"/>
          <w:sz w:val="22"/>
          <w:szCs w:val="22"/>
        </w:rPr>
        <w:t>deferral</w:t>
      </w:r>
      <w:r w:rsidRPr="00DE6575">
        <w:rPr>
          <w:rFonts w:asciiTheme="minorHAnsi" w:hAnsiTheme="minorHAnsi" w:cstheme="minorHAnsi"/>
          <w:bCs/>
          <w:color w:val="000000" w:themeColor="text1"/>
          <w:sz w:val="22"/>
          <w:szCs w:val="22"/>
        </w:rPr>
        <w:t>.</w:t>
      </w:r>
    </w:p>
    <w:p w14:paraId="78B33CD9" w14:textId="25943BE7" w:rsidR="000F6C4F" w:rsidRPr="00DE6575" w:rsidRDefault="000F6C4F" w:rsidP="00DE6575">
      <w:pPr>
        <w:pStyle w:val="Heading3Num"/>
        <w:tabs>
          <w:tab w:val="clear" w:pos="2127"/>
          <w:tab w:val="num" w:pos="1276"/>
        </w:tabs>
        <w:ind w:hanging="2127"/>
      </w:pPr>
      <w:bookmarkStart w:id="15" w:name="_Toc80875373"/>
      <w:r w:rsidRPr="00DE6575">
        <w:t xml:space="preserve">Deferred </w:t>
      </w:r>
      <w:r w:rsidR="00CA511F">
        <w:t>d</w:t>
      </w:r>
      <w:r w:rsidRPr="00DE6575">
        <w:t xml:space="preserve">ebt </w:t>
      </w:r>
      <w:r w:rsidR="00CA511F">
        <w:t>a</w:t>
      </w:r>
      <w:r w:rsidRPr="00DE6575">
        <w:t>greement (“DDA”) alternative to immediate cessation</w:t>
      </w:r>
      <w:bookmarkEnd w:id="15"/>
    </w:p>
    <w:p w14:paraId="0F324B7E" w14:textId="6187D143" w:rsidR="00160347" w:rsidRPr="00DE6575" w:rsidRDefault="002F54EA" w:rsidP="00B131C3">
      <w:pPr>
        <w:ind w:left="1276"/>
        <w:rPr>
          <w:rFonts w:asciiTheme="minorHAnsi" w:hAnsiTheme="minorHAnsi" w:cstheme="minorHAnsi"/>
          <w:bCs/>
          <w:color w:val="000000" w:themeColor="text1"/>
          <w:sz w:val="22"/>
          <w:szCs w:val="22"/>
          <w:lang w:val="en-GB" w:eastAsia="en-GB"/>
        </w:rPr>
      </w:pPr>
      <w:r w:rsidRPr="00DE6575">
        <w:rPr>
          <w:rFonts w:asciiTheme="minorHAnsi" w:hAnsiTheme="minorHAnsi" w:cstheme="minorHAnsi"/>
          <w:bCs/>
          <w:color w:val="000000" w:themeColor="text1"/>
          <w:sz w:val="22"/>
          <w:szCs w:val="22"/>
        </w:rPr>
        <w:t xml:space="preserve">The </w:t>
      </w:r>
      <w:r w:rsidR="0054305F" w:rsidRPr="00DE6575">
        <w:rPr>
          <w:rFonts w:asciiTheme="minorHAnsi" w:hAnsiTheme="minorHAnsi" w:cstheme="minorHAnsi"/>
          <w:color w:val="000000" w:themeColor="text1"/>
          <w:sz w:val="22"/>
          <w:szCs w:val="22"/>
        </w:rPr>
        <w:t>Administering Authority</w:t>
      </w:r>
      <w:r w:rsidR="0054305F" w:rsidRPr="00DE6575" w:rsidDel="0054305F">
        <w:rPr>
          <w:rFonts w:asciiTheme="minorHAnsi" w:hAnsiTheme="minorHAnsi" w:cstheme="minorHAnsi"/>
          <w:bCs/>
          <w:color w:val="000000" w:themeColor="text1"/>
          <w:sz w:val="22"/>
          <w:szCs w:val="22"/>
        </w:rPr>
        <w:t xml:space="preserve"> </w:t>
      </w:r>
      <w:r w:rsidRPr="00DE6575">
        <w:rPr>
          <w:rFonts w:asciiTheme="minorHAnsi" w:hAnsiTheme="minorHAnsi" w:cstheme="minorHAnsi"/>
          <w:bCs/>
          <w:color w:val="000000" w:themeColor="text1"/>
          <w:sz w:val="22"/>
          <w:szCs w:val="22"/>
        </w:rPr>
        <w:t xml:space="preserve">may, at its discretion, </w:t>
      </w:r>
      <w:r w:rsidR="00CF2542" w:rsidRPr="00DE6575">
        <w:rPr>
          <w:rFonts w:asciiTheme="minorHAnsi" w:hAnsiTheme="minorHAnsi" w:cstheme="minorHAnsi"/>
          <w:bCs/>
          <w:color w:val="000000" w:themeColor="text1"/>
          <w:sz w:val="22"/>
          <w:szCs w:val="22"/>
        </w:rPr>
        <w:t>allow a ceasing employer who is continuing in business,</w:t>
      </w:r>
      <w:r w:rsidR="00D90C47" w:rsidRPr="00DE6575">
        <w:rPr>
          <w:rFonts w:asciiTheme="minorHAnsi" w:hAnsiTheme="minorHAnsi" w:cstheme="minorHAnsi"/>
          <w:bCs/>
          <w:color w:val="000000" w:themeColor="text1"/>
          <w:sz w:val="22"/>
          <w:szCs w:val="22"/>
        </w:rPr>
        <w:t xml:space="preserve"> to enter into a funding agreement whereby</w:t>
      </w:r>
      <w:r w:rsidR="00631042" w:rsidRPr="00DE6575">
        <w:rPr>
          <w:rFonts w:asciiTheme="minorHAnsi" w:hAnsiTheme="minorHAnsi" w:cstheme="minorHAnsi"/>
          <w:bCs/>
          <w:color w:val="000000" w:themeColor="text1"/>
          <w:sz w:val="22"/>
          <w:szCs w:val="22"/>
        </w:rPr>
        <w:t xml:space="preserve"> </w:t>
      </w:r>
      <w:r w:rsidR="00A862E4" w:rsidRPr="00DE6575">
        <w:rPr>
          <w:rFonts w:asciiTheme="minorHAnsi" w:hAnsiTheme="minorHAnsi" w:cstheme="minorHAnsi"/>
          <w:bCs/>
          <w:color w:val="000000" w:themeColor="text1"/>
          <w:sz w:val="22"/>
          <w:szCs w:val="22"/>
        </w:rPr>
        <w:t>the payment of an exit debt is deferred and, instead, the employer</w:t>
      </w:r>
      <w:r w:rsidR="002D7BE3" w:rsidRPr="00DE6575">
        <w:rPr>
          <w:rFonts w:asciiTheme="minorHAnsi" w:hAnsiTheme="minorHAnsi" w:cstheme="minorHAnsi"/>
          <w:bCs/>
          <w:color w:val="000000" w:themeColor="text1"/>
          <w:sz w:val="22"/>
          <w:szCs w:val="22"/>
        </w:rPr>
        <w:t xml:space="preserve"> continues to pay secondary contributions</w:t>
      </w:r>
      <w:r w:rsidR="003502DA" w:rsidRPr="00DE6575">
        <w:rPr>
          <w:rFonts w:asciiTheme="minorHAnsi" w:hAnsiTheme="minorHAnsi" w:cstheme="minorHAnsi"/>
          <w:bCs/>
          <w:color w:val="000000" w:themeColor="text1"/>
          <w:sz w:val="22"/>
          <w:szCs w:val="22"/>
        </w:rPr>
        <w:t xml:space="preserve">. </w:t>
      </w:r>
      <w:r w:rsidR="001128E1" w:rsidRPr="00DE6575">
        <w:rPr>
          <w:rFonts w:asciiTheme="minorHAnsi" w:hAnsiTheme="minorHAnsi" w:cstheme="minorHAnsi"/>
          <w:bCs/>
          <w:color w:val="000000" w:themeColor="text1"/>
          <w:sz w:val="22"/>
          <w:szCs w:val="22"/>
        </w:rPr>
        <w:t xml:space="preserve">Further details </w:t>
      </w:r>
      <w:r w:rsidR="00BE27D7" w:rsidRPr="00DE6575">
        <w:rPr>
          <w:rFonts w:asciiTheme="minorHAnsi" w:hAnsiTheme="minorHAnsi" w:cstheme="minorHAnsi"/>
          <w:bCs/>
          <w:color w:val="000000" w:themeColor="text1"/>
          <w:sz w:val="22"/>
          <w:szCs w:val="22"/>
        </w:rPr>
        <w:t>o</w:t>
      </w:r>
      <w:r w:rsidR="00E53D1A" w:rsidRPr="00DE6575">
        <w:rPr>
          <w:rFonts w:asciiTheme="minorHAnsi" w:hAnsiTheme="minorHAnsi" w:cstheme="minorHAnsi"/>
          <w:bCs/>
          <w:color w:val="000000" w:themeColor="text1"/>
          <w:sz w:val="22"/>
          <w:szCs w:val="22"/>
        </w:rPr>
        <w:t>n this type of agreement are set out within the Funding Strategy Statement, but any agreement would be considered on an individual basis</w:t>
      </w:r>
      <w:r w:rsidR="004F69D7" w:rsidRPr="00DE6575">
        <w:rPr>
          <w:rFonts w:asciiTheme="minorHAnsi" w:hAnsiTheme="minorHAnsi" w:cstheme="minorHAnsi"/>
          <w:bCs/>
          <w:color w:val="000000" w:themeColor="text1"/>
          <w:sz w:val="22"/>
          <w:szCs w:val="22"/>
        </w:rPr>
        <w:t xml:space="preserve">. </w:t>
      </w:r>
      <w:r w:rsidR="0011119E" w:rsidRPr="00DE6575">
        <w:rPr>
          <w:rFonts w:asciiTheme="minorHAnsi" w:hAnsiTheme="minorHAnsi" w:cstheme="minorHAnsi"/>
          <w:bCs/>
          <w:color w:val="000000" w:themeColor="text1"/>
          <w:sz w:val="22"/>
          <w:szCs w:val="22"/>
        </w:rPr>
        <w:t xml:space="preserve">The </w:t>
      </w:r>
      <w:r w:rsidR="0054305F" w:rsidRPr="00DE6575">
        <w:rPr>
          <w:rFonts w:asciiTheme="minorHAnsi" w:hAnsiTheme="minorHAnsi" w:cstheme="minorHAnsi"/>
          <w:color w:val="000000" w:themeColor="text1"/>
          <w:sz w:val="22"/>
          <w:szCs w:val="22"/>
        </w:rPr>
        <w:t>Administering Authority</w:t>
      </w:r>
      <w:r w:rsidR="0054305F" w:rsidRPr="00DE6575" w:rsidDel="0054305F">
        <w:rPr>
          <w:rFonts w:asciiTheme="minorHAnsi" w:hAnsiTheme="minorHAnsi" w:cstheme="minorHAnsi"/>
          <w:bCs/>
          <w:color w:val="000000" w:themeColor="text1"/>
          <w:sz w:val="22"/>
          <w:szCs w:val="22"/>
        </w:rPr>
        <w:t xml:space="preserve"> </w:t>
      </w:r>
      <w:r w:rsidR="0011119E" w:rsidRPr="00DE6575">
        <w:rPr>
          <w:rFonts w:asciiTheme="minorHAnsi" w:hAnsiTheme="minorHAnsi" w:cstheme="minorHAnsi"/>
          <w:bCs/>
          <w:color w:val="000000" w:themeColor="text1"/>
          <w:sz w:val="22"/>
          <w:szCs w:val="22"/>
        </w:rPr>
        <w:t xml:space="preserve">will likely require some form of security </w:t>
      </w:r>
      <w:r w:rsidR="00BD2624" w:rsidRPr="00DE6575">
        <w:rPr>
          <w:rFonts w:asciiTheme="minorHAnsi" w:hAnsiTheme="minorHAnsi" w:cstheme="minorHAnsi"/>
          <w:bCs/>
          <w:color w:val="000000" w:themeColor="text1"/>
          <w:sz w:val="22"/>
          <w:szCs w:val="22"/>
        </w:rPr>
        <w:t xml:space="preserve">from the ceasing employer </w:t>
      </w:r>
      <w:r w:rsidR="0011119E" w:rsidRPr="00DE6575">
        <w:rPr>
          <w:rFonts w:asciiTheme="minorHAnsi" w:hAnsiTheme="minorHAnsi" w:cstheme="minorHAnsi"/>
          <w:bCs/>
          <w:color w:val="000000" w:themeColor="text1"/>
          <w:sz w:val="22"/>
          <w:szCs w:val="22"/>
        </w:rPr>
        <w:t xml:space="preserve">to </w:t>
      </w:r>
      <w:r w:rsidR="00525FE6" w:rsidRPr="00DE6575">
        <w:rPr>
          <w:rFonts w:asciiTheme="minorHAnsi" w:hAnsiTheme="minorHAnsi" w:cstheme="minorHAnsi"/>
          <w:bCs/>
          <w:color w:val="000000" w:themeColor="text1"/>
          <w:sz w:val="22"/>
          <w:szCs w:val="22"/>
        </w:rPr>
        <w:t>enter into such an agreement.</w:t>
      </w:r>
    </w:p>
    <w:p w14:paraId="1786E197" w14:textId="77777777" w:rsidR="00B131C3" w:rsidRDefault="00B131C3" w:rsidP="00B131C3">
      <w:pPr>
        <w:ind w:left="1276"/>
      </w:pPr>
    </w:p>
    <w:p w14:paraId="2C8915E7" w14:textId="77777777" w:rsidR="00664EF5" w:rsidRPr="00DE6575" w:rsidRDefault="00664EF5" w:rsidP="00621D79">
      <w:pPr>
        <w:pStyle w:val="Heading3Num"/>
        <w:tabs>
          <w:tab w:val="clear" w:pos="2127"/>
        </w:tabs>
        <w:ind w:left="1276" w:hanging="1276"/>
      </w:pPr>
      <w:bookmarkStart w:id="16" w:name="_Toc80875374"/>
      <w:r w:rsidRPr="00DE6575">
        <w:t>Basis of termination valuation</w:t>
      </w:r>
      <w:bookmarkEnd w:id="16"/>
      <w:r w:rsidRPr="00DE6575">
        <w:t xml:space="preserve"> </w:t>
      </w:r>
    </w:p>
    <w:p w14:paraId="221A13AA" w14:textId="3E501152" w:rsidR="00884E1F" w:rsidRPr="00621D79" w:rsidRDefault="009F6F93" w:rsidP="00621D79">
      <w:pPr>
        <w:spacing w:after="180"/>
        <w:ind w:left="1276"/>
        <w:rPr>
          <w:rFonts w:asciiTheme="minorHAnsi" w:hAnsiTheme="minorHAnsi" w:cstheme="minorHAnsi"/>
          <w:iCs/>
          <w:color w:val="000000" w:themeColor="text1"/>
          <w:sz w:val="22"/>
          <w:szCs w:val="22"/>
        </w:rPr>
      </w:pPr>
      <w:r w:rsidRPr="00621D79">
        <w:rPr>
          <w:rFonts w:asciiTheme="minorHAnsi" w:hAnsiTheme="minorHAnsi" w:cstheme="minorHAnsi"/>
          <w:iCs/>
          <w:color w:val="000000" w:themeColor="text1"/>
          <w:sz w:val="22"/>
          <w:szCs w:val="22"/>
        </w:rPr>
        <w:t xml:space="preserve">The </w:t>
      </w:r>
      <w:r w:rsidR="00D8269F" w:rsidRPr="00621D79">
        <w:rPr>
          <w:rFonts w:asciiTheme="minorHAnsi" w:hAnsiTheme="minorHAnsi" w:cstheme="minorHAnsi"/>
          <w:iCs/>
          <w:color w:val="000000" w:themeColor="text1"/>
          <w:sz w:val="22"/>
          <w:szCs w:val="22"/>
        </w:rPr>
        <w:t>Fund</w:t>
      </w:r>
      <w:r w:rsidR="00371E5F" w:rsidRPr="00621D79">
        <w:rPr>
          <w:rFonts w:asciiTheme="minorHAnsi" w:hAnsiTheme="minorHAnsi" w:cstheme="minorHAnsi"/>
          <w:iCs/>
          <w:color w:val="000000" w:themeColor="text1"/>
          <w:sz w:val="22"/>
          <w:szCs w:val="22"/>
        </w:rPr>
        <w:t>’</w:t>
      </w:r>
      <w:r w:rsidR="00D8269F" w:rsidRPr="00621D79">
        <w:rPr>
          <w:rFonts w:asciiTheme="minorHAnsi" w:hAnsiTheme="minorHAnsi" w:cstheme="minorHAnsi"/>
          <w:iCs/>
          <w:color w:val="000000" w:themeColor="text1"/>
          <w:sz w:val="22"/>
          <w:szCs w:val="22"/>
        </w:rPr>
        <w:t>s</w:t>
      </w:r>
      <w:r w:rsidRPr="00621D79">
        <w:rPr>
          <w:rFonts w:asciiTheme="minorHAnsi" w:hAnsiTheme="minorHAnsi" w:cstheme="minorHAnsi"/>
          <w:iCs/>
          <w:color w:val="000000" w:themeColor="text1"/>
          <w:sz w:val="22"/>
          <w:szCs w:val="22"/>
        </w:rPr>
        <w:t xml:space="preserve"> general principle on the cessation of an admission body is to assume a “clean break” on termination, i.e. the departing employer’s liability to make further contributions to the </w:t>
      </w:r>
      <w:r w:rsidR="00CC700A" w:rsidRPr="00621D79">
        <w:rPr>
          <w:rFonts w:asciiTheme="minorHAnsi" w:hAnsiTheme="minorHAnsi" w:cstheme="minorHAnsi"/>
          <w:iCs/>
          <w:color w:val="000000" w:themeColor="text1"/>
          <w:sz w:val="22"/>
          <w:szCs w:val="22"/>
        </w:rPr>
        <w:t>F</w:t>
      </w:r>
      <w:r w:rsidR="00C4593E" w:rsidRPr="00621D79">
        <w:rPr>
          <w:rFonts w:asciiTheme="minorHAnsi" w:hAnsiTheme="minorHAnsi" w:cstheme="minorHAnsi"/>
          <w:iCs/>
          <w:color w:val="000000" w:themeColor="text1"/>
          <w:sz w:val="22"/>
          <w:szCs w:val="22"/>
        </w:rPr>
        <w:t>und</w:t>
      </w:r>
      <w:r w:rsidRPr="00621D79">
        <w:rPr>
          <w:rFonts w:asciiTheme="minorHAnsi" w:hAnsiTheme="minorHAnsi" w:cstheme="minorHAnsi"/>
          <w:iCs/>
          <w:color w:val="000000" w:themeColor="text1"/>
          <w:sz w:val="22"/>
          <w:szCs w:val="22"/>
        </w:rPr>
        <w:t xml:space="preserve"> is extinguished on payment of the termination deficit calculated on an appropriate </w:t>
      </w:r>
      <w:r w:rsidR="000D3000" w:rsidRPr="00621D79">
        <w:rPr>
          <w:rFonts w:asciiTheme="minorHAnsi" w:hAnsiTheme="minorHAnsi" w:cstheme="minorHAnsi"/>
          <w:iCs/>
          <w:color w:val="000000" w:themeColor="text1"/>
          <w:sz w:val="22"/>
          <w:szCs w:val="22"/>
        </w:rPr>
        <w:t>basis.</w:t>
      </w:r>
    </w:p>
    <w:p w14:paraId="5D7124F1" w14:textId="26C78209" w:rsidR="009F6F93" w:rsidRPr="00621D79" w:rsidRDefault="009F6F93" w:rsidP="00621D79">
      <w:pPr>
        <w:spacing w:after="180"/>
        <w:ind w:left="1276"/>
        <w:rPr>
          <w:rFonts w:asciiTheme="minorHAnsi" w:hAnsiTheme="minorHAnsi" w:cstheme="minorHAnsi"/>
          <w:iCs/>
          <w:color w:val="000000" w:themeColor="text1"/>
          <w:sz w:val="22"/>
          <w:szCs w:val="22"/>
        </w:rPr>
      </w:pPr>
      <w:r w:rsidRPr="00621D79">
        <w:rPr>
          <w:rFonts w:asciiTheme="minorHAnsi" w:hAnsiTheme="minorHAnsi" w:cstheme="minorHAnsi"/>
          <w:iCs/>
          <w:color w:val="000000" w:themeColor="text1"/>
          <w:sz w:val="22"/>
          <w:szCs w:val="22"/>
        </w:rPr>
        <w:t xml:space="preserve">The </w:t>
      </w:r>
      <w:r w:rsidR="00D8269F" w:rsidRPr="00621D79">
        <w:rPr>
          <w:rFonts w:asciiTheme="minorHAnsi" w:hAnsiTheme="minorHAnsi" w:cstheme="minorHAnsi"/>
          <w:iCs/>
          <w:color w:val="000000" w:themeColor="text1"/>
          <w:sz w:val="22"/>
          <w:szCs w:val="22"/>
        </w:rPr>
        <w:t>Fund</w:t>
      </w:r>
      <w:r w:rsidR="00C4593E" w:rsidRPr="00621D79">
        <w:rPr>
          <w:rFonts w:asciiTheme="minorHAnsi" w:hAnsiTheme="minorHAnsi" w:cstheme="minorHAnsi"/>
          <w:iCs/>
          <w:color w:val="000000" w:themeColor="text1"/>
          <w:sz w:val="22"/>
          <w:szCs w:val="22"/>
        </w:rPr>
        <w:t>’</w:t>
      </w:r>
      <w:r w:rsidR="00D8269F" w:rsidRPr="00621D79">
        <w:rPr>
          <w:rFonts w:asciiTheme="minorHAnsi" w:hAnsiTheme="minorHAnsi" w:cstheme="minorHAnsi"/>
          <w:iCs/>
          <w:color w:val="000000" w:themeColor="text1"/>
          <w:sz w:val="22"/>
          <w:szCs w:val="22"/>
        </w:rPr>
        <w:t>s</w:t>
      </w:r>
      <w:r w:rsidRPr="00621D79">
        <w:rPr>
          <w:rFonts w:asciiTheme="minorHAnsi" w:hAnsiTheme="minorHAnsi" w:cstheme="minorHAnsi"/>
          <w:iCs/>
          <w:color w:val="000000" w:themeColor="text1"/>
          <w:sz w:val="22"/>
          <w:szCs w:val="22"/>
        </w:rPr>
        <w:t xml:space="preserve"> policy in relation to the calculation of cessation valuations in various circumstances is shown below, albeit each case will be considered on its own merits in accordance with the </w:t>
      </w:r>
      <w:r w:rsidR="00401F75">
        <w:rPr>
          <w:rFonts w:asciiTheme="minorHAnsi" w:hAnsiTheme="minorHAnsi" w:cstheme="minorHAnsi"/>
          <w:iCs/>
          <w:color w:val="000000" w:themeColor="text1"/>
          <w:sz w:val="22"/>
          <w:szCs w:val="22"/>
        </w:rPr>
        <w:t>Cambridgeshire County</w:t>
      </w:r>
      <w:r w:rsidR="009B7AC7" w:rsidRPr="00621D79">
        <w:rPr>
          <w:rFonts w:asciiTheme="minorHAnsi" w:hAnsiTheme="minorHAnsi" w:cstheme="minorHAnsi"/>
          <w:iCs/>
          <w:color w:val="000000" w:themeColor="text1"/>
          <w:sz w:val="22"/>
          <w:szCs w:val="22"/>
        </w:rPr>
        <w:t xml:space="preserve"> Council’s </w:t>
      </w:r>
      <w:r w:rsidRPr="00621D79">
        <w:rPr>
          <w:rFonts w:asciiTheme="minorHAnsi" w:hAnsiTheme="minorHAnsi" w:cstheme="minorHAnsi"/>
          <w:iCs/>
          <w:color w:val="000000" w:themeColor="text1"/>
          <w:sz w:val="22"/>
          <w:szCs w:val="22"/>
        </w:rPr>
        <w:t>Scheme of Delegation.</w:t>
      </w:r>
    </w:p>
    <w:p w14:paraId="58A316A1" w14:textId="7E1A41BE" w:rsidR="009F6F93" w:rsidRPr="00E92DDA" w:rsidRDefault="00664EF5" w:rsidP="00EC7ACE">
      <w:pPr>
        <w:pStyle w:val="ListParagraph"/>
        <w:numPr>
          <w:ilvl w:val="0"/>
          <w:numId w:val="9"/>
        </w:numPr>
        <w:rPr>
          <w:rFonts w:asciiTheme="minorHAnsi" w:hAnsiTheme="minorHAnsi" w:cstheme="minorHAnsi"/>
          <w:color w:val="61207F"/>
          <w:sz w:val="24"/>
        </w:rPr>
      </w:pPr>
      <w:r w:rsidRPr="00E92DDA">
        <w:rPr>
          <w:rFonts w:asciiTheme="minorHAnsi" w:hAnsiTheme="minorHAnsi" w:cstheme="minorHAnsi"/>
          <w:color w:val="61207F"/>
          <w:sz w:val="24"/>
        </w:rPr>
        <w:t>Admi</w:t>
      </w:r>
      <w:r w:rsidR="00151FEE" w:rsidRPr="00E92DDA">
        <w:rPr>
          <w:rFonts w:asciiTheme="minorHAnsi" w:hAnsiTheme="minorHAnsi" w:cstheme="minorHAnsi"/>
          <w:color w:val="61207F"/>
          <w:sz w:val="24"/>
        </w:rPr>
        <w:t>ssion</w:t>
      </w:r>
      <w:r w:rsidRPr="00E92DDA">
        <w:rPr>
          <w:rFonts w:asciiTheme="minorHAnsi" w:hAnsiTheme="minorHAnsi" w:cstheme="minorHAnsi"/>
          <w:color w:val="61207F"/>
          <w:sz w:val="24"/>
        </w:rPr>
        <w:t xml:space="preserve"> bodies with a predetermined contract end date which</w:t>
      </w:r>
      <w:r w:rsidR="009F6F93" w:rsidRPr="00E92DDA">
        <w:rPr>
          <w:rFonts w:asciiTheme="minorHAnsi" w:hAnsiTheme="minorHAnsi" w:cstheme="minorHAnsi"/>
          <w:color w:val="61207F"/>
          <w:sz w:val="24"/>
        </w:rPr>
        <w:t xml:space="preserve"> may be specified in the admission agreement.</w:t>
      </w:r>
    </w:p>
    <w:p w14:paraId="12ACC302" w14:textId="77777777" w:rsidR="00C64E40" w:rsidRDefault="009F6F93" w:rsidP="006E7019">
      <w:pPr>
        <w:numPr>
          <w:ilvl w:val="0"/>
          <w:numId w:val="3"/>
        </w:numPr>
        <w:spacing w:after="180"/>
        <w:ind w:left="1276" w:hanging="425"/>
        <w:rPr>
          <w:rFonts w:asciiTheme="minorHAnsi" w:hAnsiTheme="minorHAnsi" w:cstheme="minorHAnsi"/>
          <w:iCs/>
          <w:sz w:val="22"/>
          <w:szCs w:val="22"/>
          <w:lang w:val="en-GB" w:eastAsia="en-GB"/>
        </w:rPr>
      </w:pPr>
      <w:r w:rsidRPr="006F7E87">
        <w:rPr>
          <w:rFonts w:asciiTheme="minorHAnsi" w:hAnsiTheme="minorHAnsi" w:cstheme="minorHAnsi"/>
          <w:b/>
          <w:iCs/>
          <w:sz w:val="22"/>
          <w:szCs w:val="22"/>
          <w:lang w:val="en-GB" w:eastAsia="en-GB"/>
        </w:rPr>
        <w:t>Employers at the natural end of a contract</w:t>
      </w:r>
      <w:r w:rsidRPr="00621D79">
        <w:rPr>
          <w:rFonts w:asciiTheme="minorHAnsi" w:hAnsiTheme="minorHAnsi" w:cstheme="minorHAnsi"/>
          <w:iCs/>
          <w:sz w:val="22"/>
          <w:szCs w:val="22"/>
          <w:lang w:val="en-GB" w:eastAsia="en-GB"/>
        </w:rPr>
        <w:t xml:space="preserve"> – Once the contract is complete or the employer has completed the services it was contracted to carry out (and no plans for extending the contract are in place)</w:t>
      </w:r>
      <w:r w:rsidR="005A0E3C" w:rsidRPr="00621D79">
        <w:rPr>
          <w:rFonts w:asciiTheme="minorHAnsi" w:hAnsiTheme="minorHAnsi" w:cstheme="minorHAnsi"/>
          <w:iCs/>
          <w:sz w:val="22"/>
          <w:szCs w:val="22"/>
          <w:lang w:val="en-GB" w:eastAsia="en-GB"/>
        </w:rPr>
        <w:t>;</w:t>
      </w:r>
      <w:r w:rsidRPr="00621D79">
        <w:rPr>
          <w:rFonts w:asciiTheme="minorHAnsi" w:hAnsiTheme="minorHAnsi" w:cstheme="minorHAnsi"/>
          <w:iCs/>
          <w:sz w:val="22"/>
          <w:szCs w:val="22"/>
          <w:lang w:val="en-GB" w:eastAsia="en-GB"/>
        </w:rPr>
        <w:t xml:space="preserve"> the employer will leave the </w:t>
      </w:r>
      <w:r w:rsidR="00C4593E" w:rsidRPr="00621D79">
        <w:rPr>
          <w:rFonts w:asciiTheme="minorHAnsi" w:hAnsiTheme="minorHAnsi" w:cstheme="minorHAnsi"/>
          <w:iCs/>
          <w:sz w:val="22"/>
          <w:szCs w:val="22"/>
          <w:lang w:val="en-GB" w:eastAsia="en-GB"/>
        </w:rPr>
        <w:t>Fund</w:t>
      </w:r>
      <w:r w:rsidRPr="00621D79">
        <w:rPr>
          <w:rFonts w:asciiTheme="minorHAnsi" w:hAnsiTheme="minorHAnsi" w:cstheme="minorHAnsi"/>
          <w:iCs/>
          <w:sz w:val="22"/>
          <w:szCs w:val="22"/>
          <w:lang w:val="en-GB" w:eastAsia="en-GB"/>
        </w:rPr>
        <w:t xml:space="preserve">.  Under these circumstances, it is usual for the remaining active employees to transfer back to the </w:t>
      </w:r>
      <w:r w:rsidR="00C0037A" w:rsidRPr="00621D79">
        <w:rPr>
          <w:rFonts w:asciiTheme="minorHAnsi" w:hAnsiTheme="minorHAnsi" w:cstheme="minorHAnsi"/>
          <w:iCs/>
          <w:sz w:val="22"/>
          <w:szCs w:val="22"/>
          <w:lang w:val="en-GB" w:eastAsia="en-GB"/>
        </w:rPr>
        <w:t xml:space="preserve">awarding authority </w:t>
      </w:r>
      <w:r w:rsidRPr="00621D79">
        <w:rPr>
          <w:rFonts w:asciiTheme="minorHAnsi" w:hAnsiTheme="minorHAnsi" w:cstheme="minorHAnsi"/>
          <w:iCs/>
          <w:sz w:val="22"/>
          <w:szCs w:val="22"/>
          <w:lang w:val="en-GB" w:eastAsia="en-GB"/>
        </w:rPr>
        <w:t>or into a second (or later) generation contractor.</w:t>
      </w:r>
      <w:r w:rsidR="00C64E40" w:rsidRPr="00621D79">
        <w:rPr>
          <w:rFonts w:asciiTheme="minorHAnsi" w:hAnsiTheme="minorHAnsi" w:cstheme="minorHAnsi"/>
          <w:iCs/>
          <w:sz w:val="22"/>
          <w:szCs w:val="22"/>
          <w:lang w:val="en-GB" w:eastAsia="en-GB"/>
        </w:rPr>
        <w:t xml:space="preserve"> </w:t>
      </w:r>
    </w:p>
    <w:p w14:paraId="36CBA2C8" w14:textId="77777777" w:rsidR="00C64E40" w:rsidRDefault="009F6F93" w:rsidP="00C64E40">
      <w:pPr>
        <w:spacing w:after="180"/>
        <w:ind w:left="1276"/>
        <w:rPr>
          <w:rFonts w:asciiTheme="minorHAnsi" w:hAnsiTheme="minorHAnsi" w:cstheme="minorHAnsi"/>
          <w:iCs/>
          <w:sz w:val="22"/>
          <w:szCs w:val="22"/>
          <w:lang w:val="en-GB" w:eastAsia="en-GB"/>
        </w:rPr>
      </w:pPr>
      <w:r w:rsidRPr="00621D79">
        <w:rPr>
          <w:rFonts w:asciiTheme="minorHAnsi" w:hAnsiTheme="minorHAnsi" w:cstheme="minorHAnsi"/>
          <w:iCs/>
          <w:sz w:val="22"/>
          <w:szCs w:val="22"/>
          <w:lang w:val="en-GB" w:eastAsia="en-GB"/>
        </w:rPr>
        <w:t xml:space="preserve">In this scenario, the </w:t>
      </w:r>
      <w:r w:rsidR="005033E5" w:rsidRPr="00621D79">
        <w:rPr>
          <w:rFonts w:asciiTheme="minorHAnsi" w:hAnsiTheme="minorHAnsi" w:cstheme="minorHAnsi"/>
          <w:color w:val="000000" w:themeColor="text1"/>
          <w:sz w:val="22"/>
          <w:szCs w:val="22"/>
        </w:rPr>
        <w:t>Administering Authority</w:t>
      </w:r>
      <w:r w:rsidR="005033E5" w:rsidRPr="00621D79" w:rsidDel="005033E5">
        <w:rPr>
          <w:rFonts w:asciiTheme="minorHAnsi" w:hAnsiTheme="minorHAnsi" w:cstheme="minorHAnsi"/>
          <w:iCs/>
          <w:sz w:val="22"/>
          <w:szCs w:val="22"/>
          <w:lang w:val="en-GB" w:eastAsia="en-GB"/>
        </w:rPr>
        <w:t xml:space="preserve"> </w:t>
      </w:r>
      <w:r w:rsidRPr="00621D79">
        <w:rPr>
          <w:rFonts w:asciiTheme="minorHAnsi" w:hAnsiTheme="minorHAnsi" w:cstheme="minorHAnsi"/>
          <w:iCs/>
          <w:sz w:val="22"/>
          <w:szCs w:val="22"/>
          <w:lang w:val="en-GB" w:eastAsia="en-GB"/>
        </w:rPr>
        <w:t xml:space="preserve">would expect the responsibility for the deferred pensioners and pensioners </w:t>
      </w:r>
      <w:r w:rsidR="00664EF5" w:rsidRPr="00621D79">
        <w:rPr>
          <w:rFonts w:asciiTheme="minorHAnsi" w:hAnsiTheme="minorHAnsi" w:cstheme="minorHAnsi"/>
          <w:iCs/>
          <w:sz w:val="22"/>
          <w:szCs w:val="22"/>
          <w:lang w:val="en-GB" w:eastAsia="en-GB"/>
        </w:rPr>
        <w:t>to transfer</w:t>
      </w:r>
      <w:r w:rsidRPr="00621D79">
        <w:rPr>
          <w:rFonts w:asciiTheme="minorHAnsi" w:hAnsiTheme="minorHAnsi" w:cstheme="minorHAnsi"/>
          <w:iCs/>
          <w:sz w:val="22"/>
          <w:szCs w:val="22"/>
          <w:lang w:val="en-GB" w:eastAsia="en-GB"/>
        </w:rPr>
        <w:t xml:space="preserve"> back to the awarding authority.  The cessation liabilities will normally be calculated on an ongoing valuation basis since the awarding authority </w:t>
      </w:r>
      <w:r w:rsidR="00887F7D" w:rsidRPr="00621D79">
        <w:rPr>
          <w:rFonts w:asciiTheme="minorHAnsi" w:hAnsiTheme="minorHAnsi" w:cstheme="minorHAnsi"/>
          <w:iCs/>
          <w:sz w:val="22"/>
          <w:szCs w:val="22"/>
          <w:lang w:val="en-GB" w:eastAsia="en-GB"/>
        </w:rPr>
        <w:t xml:space="preserve">(and, where relevant, the next generation contractor) </w:t>
      </w:r>
      <w:r w:rsidRPr="00621D79">
        <w:rPr>
          <w:rFonts w:asciiTheme="minorHAnsi" w:hAnsiTheme="minorHAnsi" w:cstheme="minorHAnsi"/>
          <w:iCs/>
          <w:sz w:val="22"/>
          <w:szCs w:val="22"/>
          <w:lang w:val="en-GB" w:eastAsia="en-GB"/>
        </w:rPr>
        <w:t>will be taking responsibility for funding those liabilities.</w:t>
      </w:r>
      <w:r w:rsidR="00C64E40" w:rsidRPr="00621D79">
        <w:rPr>
          <w:rFonts w:asciiTheme="minorHAnsi" w:hAnsiTheme="minorHAnsi" w:cstheme="minorHAnsi"/>
          <w:iCs/>
          <w:sz w:val="22"/>
          <w:szCs w:val="22"/>
          <w:lang w:val="en-GB" w:eastAsia="en-GB"/>
        </w:rPr>
        <w:t xml:space="preserve"> </w:t>
      </w:r>
    </w:p>
    <w:p w14:paraId="03A7F99B" w14:textId="5A16C68B" w:rsidR="009F6F93" w:rsidRPr="00621D79" w:rsidRDefault="009F6F93" w:rsidP="00C64E40">
      <w:pPr>
        <w:spacing w:after="180"/>
        <w:ind w:left="1276"/>
        <w:rPr>
          <w:rFonts w:asciiTheme="minorHAnsi" w:hAnsiTheme="minorHAnsi" w:cstheme="minorHAnsi"/>
          <w:iCs/>
          <w:sz w:val="22"/>
          <w:szCs w:val="22"/>
          <w:lang w:val="en-GB" w:eastAsia="en-GB"/>
        </w:rPr>
      </w:pPr>
      <w:r w:rsidRPr="00621D79">
        <w:rPr>
          <w:rFonts w:asciiTheme="minorHAnsi" w:hAnsiTheme="minorHAnsi" w:cstheme="minorHAnsi"/>
          <w:iCs/>
          <w:sz w:val="22"/>
          <w:szCs w:val="22"/>
          <w:lang w:val="en-GB" w:eastAsia="en-GB"/>
        </w:rPr>
        <w:t>If any member is made redundant at the natural end of the contract any resulting early retirement strain will be paid to the Fund by the ceasing employer.</w:t>
      </w:r>
    </w:p>
    <w:p w14:paraId="5E1F5DFD" w14:textId="7F56025E" w:rsidR="00A61034" w:rsidRPr="00621D79" w:rsidRDefault="009F6F93" w:rsidP="006E7019">
      <w:pPr>
        <w:numPr>
          <w:ilvl w:val="0"/>
          <w:numId w:val="3"/>
        </w:numPr>
        <w:spacing w:after="180"/>
        <w:ind w:left="1276" w:hanging="425"/>
        <w:rPr>
          <w:rFonts w:asciiTheme="minorHAnsi" w:hAnsiTheme="minorHAnsi" w:cstheme="minorHAnsi"/>
          <w:iCs/>
          <w:sz w:val="22"/>
          <w:szCs w:val="22"/>
          <w:lang w:val="en-GB" w:eastAsia="en-GB"/>
        </w:rPr>
      </w:pPr>
      <w:r w:rsidRPr="006F7E87">
        <w:rPr>
          <w:rFonts w:asciiTheme="minorHAnsi" w:hAnsiTheme="minorHAnsi" w:cstheme="minorHAnsi"/>
          <w:b/>
          <w:iCs/>
          <w:sz w:val="22"/>
          <w:szCs w:val="22"/>
          <w:lang w:val="en-GB" w:eastAsia="en-GB"/>
        </w:rPr>
        <w:t>Employers that leave the</w:t>
      </w:r>
      <w:r w:rsidR="00CD3A01" w:rsidRPr="006F7E87">
        <w:rPr>
          <w:rFonts w:asciiTheme="minorHAnsi" w:hAnsiTheme="minorHAnsi" w:cstheme="minorHAnsi"/>
          <w:b/>
          <w:iCs/>
          <w:sz w:val="22"/>
          <w:szCs w:val="22"/>
          <w:lang w:val="en-GB" w:eastAsia="en-GB"/>
        </w:rPr>
        <w:t xml:space="preserve"> </w:t>
      </w:r>
      <w:r w:rsidR="00A2713F" w:rsidRPr="006F7E87">
        <w:rPr>
          <w:rFonts w:asciiTheme="minorHAnsi" w:hAnsiTheme="minorHAnsi" w:cstheme="minorHAnsi"/>
          <w:b/>
          <w:iCs/>
          <w:sz w:val="22"/>
          <w:szCs w:val="22"/>
          <w:lang w:val="en-GB" w:eastAsia="en-GB"/>
        </w:rPr>
        <w:t xml:space="preserve">Fund </w:t>
      </w:r>
      <w:r w:rsidRPr="006F7E87">
        <w:rPr>
          <w:rFonts w:asciiTheme="minorHAnsi" w:hAnsiTheme="minorHAnsi" w:cstheme="minorHAnsi"/>
          <w:b/>
          <w:iCs/>
          <w:sz w:val="22"/>
          <w:szCs w:val="22"/>
          <w:lang w:val="en-GB" w:eastAsia="en-GB"/>
        </w:rPr>
        <w:t>prior to the natural end of an admission agreement</w:t>
      </w:r>
      <w:r w:rsidRPr="00621D79">
        <w:rPr>
          <w:rFonts w:asciiTheme="minorHAnsi" w:hAnsiTheme="minorHAnsi" w:cstheme="minorHAnsi"/>
          <w:iCs/>
          <w:sz w:val="22"/>
          <w:szCs w:val="22"/>
          <w:lang w:val="en-GB" w:eastAsia="en-GB"/>
        </w:rPr>
        <w:t xml:space="preserve"> – Under these circumstances, it will need to be established whether the current active membership will transfer to another LGPS employer or contractor and who is responsible for any residual and future liabilities in respect of deferred pensioners and pensioners (and also potentially the </w:t>
      </w:r>
      <w:r w:rsidR="0038186A" w:rsidRPr="00621D79">
        <w:rPr>
          <w:rFonts w:asciiTheme="minorHAnsi" w:hAnsiTheme="minorHAnsi" w:cstheme="minorHAnsi"/>
          <w:iCs/>
          <w:sz w:val="22"/>
          <w:szCs w:val="22"/>
          <w:lang w:val="en-GB" w:eastAsia="en-GB"/>
        </w:rPr>
        <w:t xml:space="preserve">past and future </w:t>
      </w:r>
      <w:r w:rsidR="0001121D" w:rsidRPr="00621D79">
        <w:rPr>
          <w:rFonts w:asciiTheme="minorHAnsi" w:hAnsiTheme="minorHAnsi" w:cstheme="minorHAnsi"/>
          <w:iCs/>
          <w:sz w:val="22"/>
          <w:szCs w:val="22"/>
          <w:lang w:val="en-GB" w:eastAsia="en-GB"/>
        </w:rPr>
        <w:t xml:space="preserve">accrual of benefits of </w:t>
      </w:r>
      <w:r w:rsidRPr="00621D79">
        <w:rPr>
          <w:rFonts w:asciiTheme="minorHAnsi" w:hAnsiTheme="minorHAnsi" w:cstheme="minorHAnsi"/>
          <w:iCs/>
          <w:sz w:val="22"/>
          <w:szCs w:val="22"/>
          <w:lang w:val="en-GB" w:eastAsia="en-GB"/>
        </w:rPr>
        <w:t xml:space="preserve">transferring active members).  </w:t>
      </w:r>
    </w:p>
    <w:p w14:paraId="746592F7" w14:textId="14C39D07" w:rsidR="009F6F93" w:rsidRPr="00621D79" w:rsidRDefault="009F6F93" w:rsidP="00A61034">
      <w:pPr>
        <w:spacing w:after="180"/>
        <w:ind w:left="1276"/>
        <w:rPr>
          <w:rFonts w:asciiTheme="minorHAnsi" w:hAnsiTheme="minorHAnsi" w:cstheme="minorHAnsi"/>
          <w:iCs/>
          <w:sz w:val="22"/>
          <w:szCs w:val="22"/>
          <w:lang w:val="en-GB" w:eastAsia="en-GB"/>
        </w:rPr>
      </w:pPr>
      <w:r w:rsidRPr="00621D79">
        <w:rPr>
          <w:rFonts w:asciiTheme="minorHAnsi" w:hAnsiTheme="minorHAnsi" w:cstheme="minorHAnsi"/>
          <w:iCs/>
          <w:sz w:val="22"/>
          <w:szCs w:val="22"/>
          <w:lang w:val="en-GB" w:eastAsia="en-GB"/>
        </w:rPr>
        <w:t xml:space="preserve">Under </w:t>
      </w:r>
      <w:r w:rsidR="00162B47" w:rsidRPr="00621D79">
        <w:rPr>
          <w:rFonts w:asciiTheme="minorHAnsi" w:hAnsiTheme="minorHAnsi" w:cstheme="minorHAnsi"/>
          <w:iCs/>
          <w:sz w:val="22"/>
          <w:szCs w:val="22"/>
          <w:lang w:val="en-GB" w:eastAsia="en-GB"/>
        </w:rPr>
        <w:t>the admission</w:t>
      </w:r>
      <w:r w:rsidRPr="00621D79">
        <w:rPr>
          <w:rFonts w:asciiTheme="minorHAnsi" w:hAnsiTheme="minorHAnsi" w:cstheme="minorHAnsi"/>
          <w:iCs/>
          <w:sz w:val="22"/>
          <w:szCs w:val="22"/>
          <w:lang w:val="en-GB" w:eastAsia="en-GB"/>
        </w:rPr>
        <w:t xml:space="preserve"> agreement, those liabilities that cannot be recovered via a bond/indemnity or guarantor would usually fall back to the awarding authority (who may well be the guarantor) and ideally this should be written into the admission agreement or supporting documents.  </w:t>
      </w:r>
      <w:r w:rsidR="000F2B33" w:rsidRPr="00621D79">
        <w:rPr>
          <w:rFonts w:asciiTheme="minorHAnsi" w:hAnsiTheme="minorHAnsi" w:cstheme="minorHAnsi"/>
          <w:iCs/>
          <w:sz w:val="22"/>
          <w:szCs w:val="22"/>
          <w:lang w:val="en-GB" w:eastAsia="en-GB"/>
        </w:rPr>
        <w:t xml:space="preserve">The </w:t>
      </w:r>
      <w:r w:rsidR="005033E5" w:rsidRPr="00621D79">
        <w:rPr>
          <w:rFonts w:asciiTheme="minorHAnsi" w:hAnsiTheme="minorHAnsi" w:cstheme="minorHAnsi"/>
          <w:color w:val="000000" w:themeColor="text1"/>
          <w:sz w:val="22"/>
          <w:szCs w:val="22"/>
        </w:rPr>
        <w:t>Administering Authority</w:t>
      </w:r>
      <w:r w:rsidR="005033E5" w:rsidRPr="00621D79" w:rsidDel="005033E5">
        <w:rPr>
          <w:rFonts w:asciiTheme="minorHAnsi" w:hAnsiTheme="minorHAnsi" w:cstheme="minorHAnsi"/>
          <w:iCs/>
          <w:sz w:val="22"/>
          <w:szCs w:val="22"/>
          <w:lang w:val="en-GB" w:eastAsia="en-GB"/>
        </w:rPr>
        <w:t xml:space="preserve"> </w:t>
      </w:r>
      <w:r w:rsidR="000F2B33" w:rsidRPr="00621D79">
        <w:rPr>
          <w:rFonts w:asciiTheme="minorHAnsi" w:hAnsiTheme="minorHAnsi" w:cstheme="minorHAnsi"/>
          <w:iCs/>
          <w:sz w:val="22"/>
          <w:szCs w:val="22"/>
          <w:lang w:val="en-GB" w:eastAsia="en-GB"/>
        </w:rPr>
        <w:t>should be advised if</w:t>
      </w:r>
      <w:r w:rsidRPr="00621D79">
        <w:rPr>
          <w:rFonts w:asciiTheme="minorHAnsi" w:hAnsiTheme="minorHAnsi" w:cstheme="minorHAnsi"/>
          <w:iCs/>
          <w:sz w:val="22"/>
          <w:szCs w:val="22"/>
          <w:lang w:val="en-GB" w:eastAsia="en-GB"/>
        </w:rPr>
        <w:t xml:space="preserve"> the transfer agreement between the awarding authority and the </w:t>
      </w:r>
      <w:r w:rsidR="00DA6DA1" w:rsidRPr="00621D79">
        <w:rPr>
          <w:rFonts w:asciiTheme="minorHAnsi" w:hAnsiTheme="minorHAnsi" w:cstheme="minorHAnsi"/>
          <w:iCs/>
          <w:sz w:val="22"/>
          <w:szCs w:val="22"/>
          <w:lang w:val="en-GB" w:eastAsia="en-GB"/>
        </w:rPr>
        <w:t>admission body</w:t>
      </w:r>
      <w:r w:rsidRPr="00621D79">
        <w:rPr>
          <w:rFonts w:asciiTheme="minorHAnsi" w:hAnsiTheme="minorHAnsi" w:cstheme="minorHAnsi"/>
          <w:iCs/>
          <w:sz w:val="22"/>
          <w:szCs w:val="22"/>
          <w:lang w:val="en-GB" w:eastAsia="en-GB"/>
        </w:rPr>
        <w:t xml:space="preserve"> dictate</w:t>
      </w:r>
      <w:r w:rsidR="000F2B33" w:rsidRPr="00621D79">
        <w:rPr>
          <w:rFonts w:asciiTheme="minorHAnsi" w:hAnsiTheme="minorHAnsi" w:cstheme="minorHAnsi"/>
          <w:iCs/>
          <w:sz w:val="22"/>
          <w:szCs w:val="22"/>
          <w:lang w:val="en-GB" w:eastAsia="en-GB"/>
        </w:rPr>
        <w:t>s</w:t>
      </w:r>
      <w:r w:rsidRPr="00621D79">
        <w:rPr>
          <w:rFonts w:asciiTheme="minorHAnsi" w:hAnsiTheme="minorHAnsi" w:cstheme="minorHAnsi"/>
          <w:iCs/>
          <w:sz w:val="22"/>
          <w:szCs w:val="22"/>
          <w:lang w:val="en-GB" w:eastAsia="en-GB"/>
        </w:rPr>
        <w:t xml:space="preserve"> a different approach </w:t>
      </w:r>
      <w:r w:rsidR="00907F96" w:rsidRPr="00621D79">
        <w:rPr>
          <w:rFonts w:asciiTheme="minorHAnsi" w:hAnsiTheme="minorHAnsi" w:cstheme="minorHAnsi"/>
          <w:iCs/>
          <w:sz w:val="22"/>
          <w:szCs w:val="22"/>
          <w:lang w:val="en-GB" w:eastAsia="en-GB"/>
        </w:rPr>
        <w:t>than above</w:t>
      </w:r>
      <w:r w:rsidRPr="00621D79">
        <w:rPr>
          <w:rFonts w:asciiTheme="minorHAnsi" w:hAnsiTheme="minorHAnsi" w:cstheme="minorHAnsi"/>
          <w:iCs/>
          <w:sz w:val="22"/>
          <w:szCs w:val="22"/>
          <w:lang w:val="en-GB" w:eastAsia="en-GB"/>
        </w:rPr>
        <w:t xml:space="preserve">. </w:t>
      </w:r>
      <w:r w:rsidR="00D010AC" w:rsidRPr="00621D79">
        <w:rPr>
          <w:rFonts w:asciiTheme="minorHAnsi" w:hAnsiTheme="minorHAnsi" w:cstheme="minorHAnsi"/>
          <w:iCs/>
          <w:sz w:val="22"/>
          <w:szCs w:val="22"/>
          <w:lang w:val="en-GB" w:eastAsia="en-GB"/>
        </w:rPr>
        <w:br/>
      </w:r>
      <w:r w:rsidR="00D010AC" w:rsidRPr="00621D79">
        <w:rPr>
          <w:rFonts w:asciiTheme="minorHAnsi" w:hAnsiTheme="minorHAnsi" w:cstheme="minorHAnsi"/>
          <w:iCs/>
          <w:sz w:val="22"/>
          <w:szCs w:val="22"/>
          <w:lang w:val="en-GB" w:eastAsia="en-GB"/>
        </w:rPr>
        <w:br/>
        <w:t xml:space="preserve">In broad terms, </w:t>
      </w:r>
      <w:r w:rsidR="005F1AD0" w:rsidRPr="00621D79">
        <w:rPr>
          <w:rFonts w:asciiTheme="minorHAnsi" w:hAnsiTheme="minorHAnsi" w:cstheme="minorHAnsi"/>
          <w:iCs/>
          <w:sz w:val="22"/>
          <w:szCs w:val="22"/>
          <w:lang w:val="en-GB" w:eastAsia="en-GB"/>
        </w:rPr>
        <w:t>when assessing a cessation debt on early termination</w:t>
      </w:r>
      <w:r w:rsidR="00FA0562" w:rsidRPr="00621D79">
        <w:rPr>
          <w:rFonts w:asciiTheme="minorHAnsi" w:hAnsiTheme="minorHAnsi" w:cstheme="minorHAnsi"/>
          <w:iCs/>
          <w:sz w:val="22"/>
          <w:szCs w:val="22"/>
          <w:lang w:val="en-GB" w:eastAsia="en-GB"/>
        </w:rPr>
        <w:t>,</w:t>
      </w:r>
      <w:r w:rsidR="005F1AD0" w:rsidRPr="00621D79">
        <w:rPr>
          <w:rFonts w:asciiTheme="minorHAnsi" w:hAnsiTheme="minorHAnsi" w:cstheme="minorHAnsi"/>
          <w:iCs/>
          <w:sz w:val="22"/>
          <w:szCs w:val="22"/>
          <w:lang w:val="en-GB" w:eastAsia="en-GB"/>
        </w:rPr>
        <w:t xml:space="preserve"> </w:t>
      </w:r>
      <w:r w:rsidR="00D010AC" w:rsidRPr="00621D79">
        <w:rPr>
          <w:rFonts w:asciiTheme="minorHAnsi" w:hAnsiTheme="minorHAnsi" w:cstheme="minorHAnsi"/>
          <w:iCs/>
          <w:sz w:val="22"/>
          <w:szCs w:val="22"/>
          <w:lang w:val="en-GB" w:eastAsia="en-GB"/>
        </w:rPr>
        <w:t xml:space="preserve">liabilities </w:t>
      </w:r>
      <w:r w:rsidR="005623CE" w:rsidRPr="00621D79">
        <w:rPr>
          <w:rFonts w:asciiTheme="minorHAnsi" w:hAnsiTheme="minorHAnsi" w:cstheme="minorHAnsi"/>
          <w:iCs/>
          <w:sz w:val="22"/>
          <w:szCs w:val="22"/>
          <w:lang w:val="en-GB" w:eastAsia="en-GB"/>
        </w:rPr>
        <w:t>may</w:t>
      </w:r>
      <w:r w:rsidR="00132364" w:rsidRPr="00621D79">
        <w:rPr>
          <w:rFonts w:asciiTheme="minorHAnsi" w:hAnsiTheme="minorHAnsi" w:cstheme="minorHAnsi"/>
          <w:iCs/>
          <w:sz w:val="22"/>
          <w:szCs w:val="22"/>
          <w:lang w:val="en-GB" w:eastAsia="en-GB"/>
        </w:rPr>
        <w:t xml:space="preserve"> be assessed on a </w:t>
      </w:r>
      <w:r w:rsidR="005E5DE1" w:rsidRPr="00621D79">
        <w:rPr>
          <w:rFonts w:asciiTheme="minorHAnsi" w:hAnsiTheme="minorHAnsi" w:cstheme="minorHAnsi"/>
          <w:iCs/>
          <w:sz w:val="22"/>
          <w:szCs w:val="22"/>
          <w:lang w:val="en-GB" w:eastAsia="en-GB"/>
        </w:rPr>
        <w:t>low</w:t>
      </w:r>
      <w:r w:rsidR="00AD26EF" w:rsidRPr="00621D79">
        <w:rPr>
          <w:rFonts w:asciiTheme="minorHAnsi" w:hAnsiTheme="minorHAnsi" w:cstheme="minorHAnsi"/>
          <w:iCs/>
          <w:sz w:val="22"/>
          <w:szCs w:val="22"/>
          <w:lang w:val="en-GB" w:eastAsia="en-GB"/>
        </w:rPr>
        <w:t>er</w:t>
      </w:r>
      <w:r w:rsidR="005E5DE1" w:rsidRPr="00621D79">
        <w:rPr>
          <w:rFonts w:asciiTheme="minorHAnsi" w:hAnsiTheme="minorHAnsi" w:cstheme="minorHAnsi"/>
          <w:iCs/>
          <w:sz w:val="22"/>
          <w:szCs w:val="22"/>
          <w:lang w:val="en-GB" w:eastAsia="en-GB"/>
        </w:rPr>
        <w:t xml:space="preserve"> risk </w:t>
      </w:r>
      <w:r w:rsidR="00AD26EF" w:rsidRPr="00621D79">
        <w:rPr>
          <w:rFonts w:asciiTheme="minorHAnsi" w:hAnsiTheme="minorHAnsi" w:cstheme="minorHAnsi"/>
          <w:iCs/>
          <w:sz w:val="22"/>
          <w:szCs w:val="22"/>
          <w:lang w:val="en-GB" w:eastAsia="en-GB"/>
        </w:rPr>
        <w:t>termination basis</w:t>
      </w:r>
      <w:r w:rsidR="00132364" w:rsidRPr="00621D79">
        <w:rPr>
          <w:rFonts w:asciiTheme="minorHAnsi" w:hAnsiTheme="minorHAnsi" w:cstheme="minorHAnsi"/>
          <w:iCs/>
          <w:sz w:val="22"/>
          <w:szCs w:val="22"/>
          <w:lang w:val="en-GB" w:eastAsia="en-GB"/>
        </w:rPr>
        <w:t xml:space="preserve"> to protect other Fund employers.</w:t>
      </w:r>
      <w:r w:rsidRPr="00621D79">
        <w:rPr>
          <w:rFonts w:asciiTheme="minorHAnsi" w:hAnsiTheme="minorHAnsi" w:cstheme="minorHAnsi"/>
          <w:iCs/>
          <w:sz w:val="22"/>
          <w:szCs w:val="22"/>
          <w:lang w:val="en-GB" w:eastAsia="en-GB"/>
        </w:rPr>
        <w:t xml:space="preserve"> </w:t>
      </w:r>
      <w:r w:rsidRPr="00621D79">
        <w:rPr>
          <w:rFonts w:asciiTheme="minorHAnsi" w:hAnsiTheme="minorHAnsi" w:cstheme="minorHAnsi"/>
          <w:iCs/>
          <w:sz w:val="22"/>
          <w:szCs w:val="22"/>
          <w:lang w:val="en-GB" w:eastAsia="en-GB"/>
        </w:rPr>
        <w:tab/>
      </w:r>
    </w:p>
    <w:p w14:paraId="77C408AF" w14:textId="2AA30550" w:rsidR="003658B2" w:rsidRPr="00122256" w:rsidRDefault="00DA6DA1" w:rsidP="00EC7ACE">
      <w:pPr>
        <w:pStyle w:val="ListParagraph"/>
        <w:numPr>
          <w:ilvl w:val="0"/>
          <w:numId w:val="9"/>
        </w:numPr>
        <w:rPr>
          <w:rFonts w:asciiTheme="minorHAnsi" w:hAnsiTheme="minorHAnsi" w:cstheme="minorHAnsi"/>
          <w:color w:val="61207F"/>
          <w:sz w:val="24"/>
        </w:rPr>
      </w:pPr>
      <w:r w:rsidRPr="00122256">
        <w:rPr>
          <w:rFonts w:asciiTheme="minorHAnsi" w:hAnsiTheme="minorHAnsi" w:cstheme="minorHAnsi"/>
          <w:color w:val="61207F"/>
          <w:sz w:val="24"/>
        </w:rPr>
        <w:t>Non time limited admission bodies</w:t>
      </w:r>
      <w:r w:rsidR="009F6F93" w:rsidRPr="00122256">
        <w:rPr>
          <w:rFonts w:asciiTheme="minorHAnsi" w:hAnsiTheme="minorHAnsi" w:cstheme="minorHAnsi"/>
          <w:color w:val="61207F"/>
          <w:sz w:val="24"/>
        </w:rPr>
        <w:t xml:space="preserve">  </w:t>
      </w:r>
    </w:p>
    <w:p w14:paraId="368E24A0" w14:textId="2F6BE03F" w:rsidR="00C4593E" w:rsidRPr="00122256" w:rsidRDefault="00A11CEA" w:rsidP="00EC7ACE">
      <w:pPr>
        <w:pStyle w:val="ListParagraph"/>
        <w:numPr>
          <w:ilvl w:val="0"/>
          <w:numId w:val="10"/>
        </w:numPr>
        <w:rPr>
          <w:rFonts w:asciiTheme="minorHAnsi" w:hAnsiTheme="minorHAnsi" w:cstheme="minorHAnsi"/>
          <w:color w:val="000000" w:themeColor="text1"/>
          <w:szCs w:val="22"/>
        </w:rPr>
      </w:pPr>
      <w:r w:rsidRPr="00122256">
        <w:rPr>
          <w:rFonts w:asciiTheme="minorHAnsi" w:hAnsiTheme="minorHAnsi" w:cstheme="minorHAnsi"/>
          <w:color w:val="000000" w:themeColor="text1"/>
          <w:szCs w:val="22"/>
        </w:rPr>
        <w:t>T</w:t>
      </w:r>
      <w:r w:rsidR="00C4593E" w:rsidRPr="00122256">
        <w:rPr>
          <w:rFonts w:asciiTheme="minorHAnsi" w:hAnsiTheme="minorHAnsi" w:cstheme="minorHAnsi"/>
          <w:color w:val="000000" w:themeColor="text1"/>
          <w:szCs w:val="22"/>
        </w:rPr>
        <w:t xml:space="preserve">he cessation liabilities and final deficit will normally be calculated using a </w:t>
      </w:r>
      <w:r w:rsidR="000360A8" w:rsidRPr="00122256">
        <w:rPr>
          <w:rFonts w:asciiTheme="minorHAnsi" w:hAnsiTheme="minorHAnsi" w:cstheme="minorHAnsi"/>
          <w:color w:val="000000" w:themeColor="text1"/>
          <w:szCs w:val="22"/>
        </w:rPr>
        <w:t xml:space="preserve">low risk exit </w:t>
      </w:r>
      <w:r w:rsidR="00C4593E" w:rsidRPr="00122256">
        <w:rPr>
          <w:rFonts w:asciiTheme="minorHAnsi" w:hAnsiTheme="minorHAnsi" w:cstheme="minorHAnsi"/>
          <w:color w:val="000000" w:themeColor="text1"/>
          <w:szCs w:val="22"/>
        </w:rPr>
        <w:t xml:space="preserve">basis </w:t>
      </w:r>
      <w:r w:rsidR="001930D5" w:rsidRPr="00122256">
        <w:rPr>
          <w:rFonts w:asciiTheme="minorHAnsi" w:hAnsiTheme="minorHAnsi" w:cstheme="minorHAnsi"/>
          <w:color w:val="000000" w:themeColor="text1"/>
          <w:szCs w:val="22"/>
        </w:rPr>
        <w:t xml:space="preserve">as per the Funding Strategy Statement </w:t>
      </w:r>
      <w:r w:rsidR="00C4593E" w:rsidRPr="00122256">
        <w:rPr>
          <w:rFonts w:asciiTheme="minorHAnsi" w:hAnsiTheme="minorHAnsi" w:cstheme="minorHAnsi"/>
          <w:color w:val="000000" w:themeColor="text1"/>
          <w:szCs w:val="22"/>
        </w:rPr>
        <w:t xml:space="preserve">with an allowance for further future mortality improvements. </w:t>
      </w:r>
    </w:p>
    <w:p w14:paraId="061FDC21" w14:textId="77777777" w:rsidR="003658B2" w:rsidRPr="00122256" w:rsidRDefault="003658B2"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22256">
        <w:rPr>
          <w:rFonts w:asciiTheme="minorHAnsi" w:hAnsiTheme="minorHAnsi" w:cstheme="minorHAnsi"/>
          <w:color w:val="000000" w:themeColor="text1"/>
          <w:szCs w:val="22"/>
        </w:rPr>
        <w:t xml:space="preserve">It is now a condition of admission that such bodies will be “sponsored” by another scheme employer or another public body or provide an indemnity or security acceptable to the Fund.  </w:t>
      </w:r>
    </w:p>
    <w:p w14:paraId="0F4C94D7" w14:textId="77777777" w:rsidR="00162B47" w:rsidRPr="00122256" w:rsidRDefault="00C4593E"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22256">
        <w:rPr>
          <w:rFonts w:asciiTheme="minorHAnsi" w:hAnsiTheme="minorHAnsi" w:cstheme="minorHAnsi"/>
          <w:color w:val="000000" w:themeColor="text1"/>
          <w:szCs w:val="22"/>
        </w:rPr>
        <w:t>If</w:t>
      </w:r>
      <w:r w:rsidR="00A11CEA" w:rsidRPr="00122256">
        <w:rPr>
          <w:rFonts w:asciiTheme="minorHAnsi" w:hAnsiTheme="minorHAnsi" w:cstheme="minorHAnsi"/>
          <w:color w:val="000000" w:themeColor="text1"/>
          <w:szCs w:val="22"/>
        </w:rPr>
        <w:t xml:space="preserve">, for some reason, </w:t>
      </w:r>
      <w:r w:rsidRPr="00122256">
        <w:rPr>
          <w:rFonts w:asciiTheme="minorHAnsi" w:hAnsiTheme="minorHAnsi" w:cstheme="minorHAnsi"/>
          <w:color w:val="000000" w:themeColor="text1"/>
          <w:szCs w:val="22"/>
        </w:rPr>
        <w:t>t</w:t>
      </w:r>
      <w:r w:rsidR="009F6F93" w:rsidRPr="00122256">
        <w:rPr>
          <w:rFonts w:asciiTheme="minorHAnsi" w:hAnsiTheme="minorHAnsi" w:cstheme="minorHAnsi"/>
          <w:color w:val="000000" w:themeColor="text1"/>
          <w:szCs w:val="22"/>
        </w:rPr>
        <w:t xml:space="preserve">he </w:t>
      </w:r>
      <w:r w:rsidR="00A11CEA" w:rsidRPr="00122256">
        <w:rPr>
          <w:rFonts w:asciiTheme="minorHAnsi" w:hAnsiTheme="minorHAnsi" w:cstheme="minorHAnsi"/>
          <w:color w:val="000000" w:themeColor="text1"/>
          <w:szCs w:val="22"/>
        </w:rPr>
        <w:t xml:space="preserve">Fund is not able to recover the full amount of the final deficit from the admission body, the </w:t>
      </w:r>
      <w:r w:rsidR="009F6F93" w:rsidRPr="00122256">
        <w:rPr>
          <w:rFonts w:asciiTheme="minorHAnsi" w:hAnsiTheme="minorHAnsi" w:cstheme="minorHAnsi"/>
          <w:color w:val="000000" w:themeColor="text1"/>
          <w:szCs w:val="22"/>
        </w:rPr>
        <w:t>s</w:t>
      </w:r>
      <w:r w:rsidRPr="00122256">
        <w:rPr>
          <w:rFonts w:asciiTheme="minorHAnsi" w:hAnsiTheme="minorHAnsi" w:cstheme="minorHAnsi"/>
          <w:color w:val="000000" w:themeColor="text1"/>
          <w:szCs w:val="22"/>
        </w:rPr>
        <w:t>ponsor (or guarantor)</w:t>
      </w:r>
      <w:r w:rsidR="00A11CEA" w:rsidRPr="00122256">
        <w:rPr>
          <w:rFonts w:asciiTheme="minorHAnsi" w:hAnsiTheme="minorHAnsi" w:cstheme="minorHAnsi"/>
          <w:color w:val="000000" w:themeColor="text1"/>
          <w:szCs w:val="22"/>
        </w:rPr>
        <w:t xml:space="preserve"> will be expected to</w:t>
      </w:r>
      <w:r w:rsidRPr="00122256">
        <w:rPr>
          <w:rFonts w:asciiTheme="minorHAnsi" w:hAnsiTheme="minorHAnsi" w:cstheme="minorHAnsi"/>
          <w:color w:val="000000" w:themeColor="text1"/>
          <w:szCs w:val="22"/>
        </w:rPr>
        <w:t xml:space="preserve"> </w:t>
      </w:r>
      <w:r w:rsidR="00A11CEA" w:rsidRPr="00122256">
        <w:rPr>
          <w:rFonts w:asciiTheme="minorHAnsi" w:hAnsiTheme="minorHAnsi" w:cstheme="minorHAnsi"/>
          <w:color w:val="000000" w:themeColor="text1"/>
          <w:szCs w:val="22"/>
        </w:rPr>
        <w:t>assume</w:t>
      </w:r>
      <w:r w:rsidR="009F6F93" w:rsidRPr="00122256">
        <w:rPr>
          <w:rFonts w:asciiTheme="minorHAnsi" w:hAnsiTheme="minorHAnsi" w:cstheme="minorHAnsi"/>
          <w:color w:val="000000" w:themeColor="text1"/>
          <w:szCs w:val="22"/>
        </w:rPr>
        <w:t xml:space="preserve"> responsibility for the assets and liabilities in the </w:t>
      </w:r>
      <w:r w:rsidRPr="00122256">
        <w:rPr>
          <w:rFonts w:asciiTheme="minorHAnsi" w:hAnsiTheme="minorHAnsi" w:cstheme="minorHAnsi"/>
          <w:color w:val="000000" w:themeColor="text1"/>
          <w:szCs w:val="22"/>
        </w:rPr>
        <w:t>Fund,</w:t>
      </w:r>
      <w:r w:rsidR="009F6F93" w:rsidRPr="00122256">
        <w:rPr>
          <w:rFonts w:asciiTheme="minorHAnsi" w:hAnsiTheme="minorHAnsi" w:cstheme="minorHAnsi"/>
          <w:color w:val="000000" w:themeColor="text1"/>
          <w:szCs w:val="22"/>
        </w:rPr>
        <w:t xml:space="preserve"> which are attributable to the </w:t>
      </w:r>
      <w:r w:rsidR="00DA6DA1" w:rsidRPr="00122256">
        <w:rPr>
          <w:rFonts w:asciiTheme="minorHAnsi" w:hAnsiTheme="minorHAnsi" w:cstheme="minorHAnsi"/>
          <w:color w:val="000000" w:themeColor="text1"/>
          <w:szCs w:val="22"/>
        </w:rPr>
        <w:t>admitted body</w:t>
      </w:r>
      <w:r w:rsidR="00A11CEA" w:rsidRPr="00122256">
        <w:rPr>
          <w:rFonts w:asciiTheme="minorHAnsi" w:hAnsiTheme="minorHAnsi" w:cstheme="minorHAnsi"/>
          <w:color w:val="000000" w:themeColor="text1"/>
          <w:szCs w:val="22"/>
        </w:rPr>
        <w:t>.</w:t>
      </w:r>
      <w:r w:rsidR="009F6F93" w:rsidRPr="00122256">
        <w:rPr>
          <w:rFonts w:asciiTheme="minorHAnsi" w:hAnsiTheme="minorHAnsi" w:cstheme="minorHAnsi"/>
          <w:color w:val="000000" w:themeColor="text1"/>
          <w:szCs w:val="22"/>
        </w:rPr>
        <w:t xml:space="preserve">  Where </w:t>
      </w:r>
      <w:r w:rsidR="00A11CEA" w:rsidRPr="00122256">
        <w:rPr>
          <w:rFonts w:asciiTheme="minorHAnsi" w:hAnsiTheme="minorHAnsi" w:cstheme="minorHAnsi"/>
          <w:color w:val="000000" w:themeColor="text1"/>
          <w:szCs w:val="22"/>
        </w:rPr>
        <w:t>this is t</w:t>
      </w:r>
      <w:r w:rsidR="009F6F93" w:rsidRPr="00122256">
        <w:rPr>
          <w:rFonts w:asciiTheme="minorHAnsi" w:hAnsiTheme="minorHAnsi" w:cstheme="minorHAnsi"/>
          <w:color w:val="000000" w:themeColor="text1"/>
          <w:szCs w:val="22"/>
        </w:rPr>
        <w:t xml:space="preserve">he </w:t>
      </w:r>
      <w:r w:rsidR="00A11CEA" w:rsidRPr="00122256">
        <w:rPr>
          <w:rFonts w:asciiTheme="minorHAnsi" w:hAnsiTheme="minorHAnsi" w:cstheme="minorHAnsi"/>
          <w:color w:val="000000" w:themeColor="text1"/>
          <w:szCs w:val="22"/>
        </w:rPr>
        <w:t xml:space="preserve">case, the </w:t>
      </w:r>
      <w:r w:rsidR="009F6F93" w:rsidRPr="00122256">
        <w:rPr>
          <w:rFonts w:asciiTheme="minorHAnsi" w:hAnsiTheme="minorHAnsi" w:cstheme="minorHAnsi"/>
          <w:color w:val="000000" w:themeColor="text1"/>
          <w:szCs w:val="22"/>
        </w:rPr>
        <w:t xml:space="preserve">cessation valuation will normally be </w:t>
      </w:r>
      <w:r w:rsidR="00A11CEA" w:rsidRPr="00122256">
        <w:rPr>
          <w:rFonts w:asciiTheme="minorHAnsi" w:hAnsiTheme="minorHAnsi" w:cstheme="minorHAnsi"/>
          <w:color w:val="000000" w:themeColor="text1"/>
          <w:szCs w:val="22"/>
        </w:rPr>
        <w:t>re-</w:t>
      </w:r>
      <w:r w:rsidR="009F6F93" w:rsidRPr="00122256">
        <w:rPr>
          <w:rFonts w:asciiTheme="minorHAnsi" w:hAnsiTheme="minorHAnsi" w:cstheme="minorHAnsi"/>
          <w:color w:val="000000" w:themeColor="text1"/>
          <w:szCs w:val="22"/>
        </w:rPr>
        <w:t xml:space="preserve">calculated using an ongoing valuation basis appropriate to the investment strategy.  </w:t>
      </w:r>
    </w:p>
    <w:p w14:paraId="07F6AE16" w14:textId="0A109629" w:rsidR="00A11CEA" w:rsidRDefault="00A11CEA"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122256">
        <w:rPr>
          <w:rFonts w:asciiTheme="minorHAnsi" w:hAnsiTheme="minorHAnsi" w:cstheme="minorHAnsi"/>
          <w:color w:val="000000" w:themeColor="text1"/>
          <w:szCs w:val="22"/>
        </w:rPr>
        <w:t xml:space="preserve">If, for some reason, the Fund is not able to recover the full amount of the final deficit from the admission body </w:t>
      </w:r>
      <w:r w:rsidR="00E67D48" w:rsidRPr="00122256">
        <w:rPr>
          <w:rFonts w:asciiTheme="minorHAnsi" w:hAnsiTheme="minorHAnsi" w:cstheme="minorHAnsi"/>
          <w:color w:val="000000" w:themeColor="text1"/>
          <w:szCs w:val="22"/>
        </w:rPr>
        <w:t xml:space="preserve">and there is no </w:t>
      </w:r>
      <w:r w:rsidRPr="00122256">
        <w:rPr>
          <w:rFonts w:asciiTheme="minorHAnsi" w:hAnsiTheme="minorHAnsi" w:cstheme="minorHAnsi"/>
          <w:color w:val="000000" w:themeColor="text1"/>
          <w:szCs w:val="22"/>
        </w:rPr>
        <w:t>guarantor (these will generally be historical cases), then together with any future deficit arising in respect of the membership it will be the responsibility of all the employers in the Fund.</w:t>
      </w:r>
    </w:p>
    <w:p w14:paraId="395D68BA" w14:textId="77777777" w:rsidR="00F37FAC" w:rsidRPr="00122256" w:rsidRDefault="00F37FAC" w:rsidP="00122256">
      <w:pPr>
        <w:pStyle w:val="ListParagraph"/>
        <w:numPr>
          <w:ilvl w:val="0"/>
          <w:numId w:val="0"/>
        </w:numPr>
        <w:autoSpaceDE w:val="0"/>
        <w:autoSpaceDN w:val="0"/>
        <w:adjustRightInd w:val="0"/>
        <w:ind w:left="1211"/>
        <w:rPr>
          <w:rFonts w:asciiTheme="minorHAnsi" w:hAnsiTheme="minorHAnsi" w:cstheme="minorHAnsi"/>
          <w:color w:val="000000" w:themeColor="text1"/>
          <w:szCs w:val="22"/>
        </w:rPr>
      </w:pPr>
    </w:p>
    <w:p w14:paraId="1D813B64" w14:textId="5C645F5E" w:rsidR="008643D4" w:rsidRPr="006F7E87" w:rsidRDefault="008643D4" w:rsidP="00B94D92">
      <w:pPr>
        <w:spacing w:after="180"/>
        <w:ind w:left="1276" w:hanging="1287"/>
        <w:rPr>
          <w:rFonts w:asciiTheme="minorHAnsi" w:hAnsiTheme="minorHAnsi" w:cstheme="minorHAnsi"/>
          <w:iCs/>
          <w:sz w:val="22"/>
          <w:szCs w:val="22"/>
        </w:rPr>
      </w:pPr>
      <w:r>
        <w:rPr>
          <w:rFonts w:ascii="Arial" w:hAnsi="Arial" w:cs="Arial"/>
          <w:iCs/>
        </w:rPr>
        <w:tab/>
      </w:r>
      <w:r w:rsidRPr="006F7E87">
        <w:rPr>
          <w:rFonts w:asciiTheme="minorHAnsi" w:hAnsiTheme="minorHAnsi" w:cstheme="minorHAnsi"/>
          <w:iCs/>
          <w:sz w:val="22"/>
          <w:szCs w:val="22"/>
        </w:rPr>
        <w:t xml:space="preserve">The </w:t>
      </w:r>
      <w:r w:rsidR="00C94DE4" w:rsidRPr="006F7E87">
        <w:rPr>
          <w:rFonts w:asciiTheme="minorHAnsi" w:hAnsiTheme="minorHAnsi" w:cstheme="minorHAnsi"/>
          <w:color w:val="000000" w:themeColor="text1"/>
          <w:sz w:val="22"/>
          <w:szCs w:val="22"/>
        </w:rPr>
        <w:t>Administering Authority</w:t>
      </w:r>
      <w:r w:rsidR="00C94DE4" w:rsidRPr="006F7E87" w:rsidDel="00C94DE4">
        <w:rPr>
          <w:rFonts w:asciiTheme="minorHAnsi" w:hAnsiTheme="minorHAnsi" w:cstheme="minorHAnsi"/>
          <w:iCs/>
          <w:sz w:val="22"/>
          <w:szCs w:val="22"/>
        </w:rPr>
        <w:t xml:space="preserve"> </w:t>
      </w:r>
      <w:r w:rsidRPr="006F7E87">
        <w:rPr>
          <w:rFonts w:asciiTheme="minorHAnsi" w:hAnsiTheme="minorHAnsi" w:cstheme="minorHAnsi"/>
          <w:iCs/>
          <w:sz w:val="22"/>
          <w:szCs w:val="22"/>
        </w:rPr>
        <w:t>reserves the right to use different funding assumptions if they are deemed to be appropriate</w:t>
      </w:r>
      <w:r w:rsidR="00C915C3" w:rsidRPr="006F7E87">
        <w:rPr>
          <w:rFonts w:asciiTheme="minorHAnsi" w:hAnsiTheme="minorHAnsi" w:cstheme="minorHAnsi"/>
          <w:iCs/>
          <w:sz w:val="22"/>
          <w:szCs w:val="22"/>
        </w:rPr>
        <w:t>, after taking actuarial advice</w:t>
      </w:r>
      <w:r w:rsidRPr="006F7E87">
        <w:rPr>
          <w:rFonts w:asciiTheme="minorHAnsi" w:hAnsiTheme="minorHAnsi" w:cstheme="minorHAnsi"/>
          <w:iCs/>
          <w:sz w:val="22"/>
          <w:szCs w:val="22"/>
        </w:rPr>
        <w:t>.</w:t>
      </w:r>
    </w:p>
    <w:p w14:paraId="617EA2B8" w14:textId="33817963" w:rsidR="009F6F93" w:rsidRPr="006F7E87" w:rsidRDefault="00DA6DA1" w:rsidP="006F7E87">
      <w:pPr>
        <w:pStyle w:val="Heading3Num"/>
        <w:tabs>
          <w:tab w:val="clear" w:pos="2127"/>
        </w:tabs>
        <w:ind w:left="1276" w:hanging="1276"/>
      </w:pPr>
      <w:bookmarkStart w:id="17" w:name="_Toc80875375"/>
      <w:r w:rsidRPr="006F7E87">
        <w:t>Payment of cessation de</w:t>
      </w:r>
      <w:r w:rsidR="009D49C6" w:rsidRPr="006F7E87">
        <w:t>bt</w:t>
      </w:r>
      <w:bookmarkEnd w:id="17"/>
    </w:p>
    <w:p w14:paraId="52355BF6" w14:textId="13331672" w:rsidR="00FA20B2" w:rsidRPr="006F7E87" w:rsidRDefault="00FA20B2" w:rsidP="006F7E87">
      <w:pPr>
        <w:spacing w:after="180"/>
        <w:ind w:left="1276"/>
        <w:rPr>
          <w:rFonts w:asciiTheme="minorHAnsi" w:hAnsiTheme="minorHAnsi" w:cstheme="minorHAnsi"/>
          <w:iCs/>
          <w:color w:val="000000" w:themeColor="text1"/>
          <w:sz w:val="22"/>
          <w:szCs w:val="22"/>
        </w:rPr>
      </w:pPr>
      <w:r w:rsidRPr="006F7E87">
        <w:rPr>
          <w:rFonts w:asciiTheme="minorHAnsi" w:hAnsiTheme="minorHAnsi" w:cstheme="minorHAnsi"/>
          <w:iCs/>
          <w:color w:val="000000" w:themeColor="text1"/>
          <w:sz w:val="22"/>
          <w:szCs w:val="22"/>
        </w:rPr>
        <w:t xml:space="preserve">The </w:t>
      </w:r>
      <w:r w:rsidR="00CC700A" w:rsidRPr="006F7E87">
        <w:rPr>
          <w:rFonts w:asciiTheme="minorHAnsi" w:hAnsiTheme="minorHAnsi" w:cstheme="minorHAnsi"/>
          <w:iCs/>
          <w:color w:val="000000" w:themeColor="text1"/>
          <w:sz w:val="22"/>
          <w:szCs w:val="22"/>
        </w:rPr>
        <w:t>F</w:t>
      </w:r>
      <w:r w:rsidR="003658B2" w:rsidRPr="006F7E87">
        <w:rPr>
          <w:rFonts w:asciiTheme="minorHAnsi" w:hAnsiTheme="minorHAnsi" w:cstheme="minorHAnsi"/>
          <w:iCs/>
          <w:color w:val="000000" w:themeColor="text1"/>
          <w:sz w:val="22"/>
          <w:szCs w:val="22"/>
        </w:rPr>
        <w:t>und</w:t>
      </w:r>
      <w:r w:rsidR="00435EBD" w:rsidRPr="006F7E87">
        <w:rPr>
          <w:rFonts w:asciiTheme="minorHAnsi" w:hAnsiTheme="minorHAnsi" w:cstheme="minorHAnsi"/>
          <w:iCs/>
          <w:color w:val="000000" w:themeColor="text1"/>
          <w:sz w:val="22"/>
          <w:szCs w:val="22"/>
        </w:rPr>
        <w:t>’</w:t>
      </w:r>
      <w:r w:rsidR="002172E8" w:rsidRPr="006F7E87">
        <w:rPr>
          <w:rFonts w:asciiTheme="minorHAnsi" w:hAnsiTheme="minorHAnsi" w:cstheme="minorHAnsi"/>
          <w:iCs/>
          <w:color w:val="000000" w:themeColor="text1"/>
          <w:sz w:val="22"/>
          <w:szCs w:val="22"/>
        </w:rPr>
        <w:t>s</w:t>
      </w:r>
      <w:r w:rsidRPr="006F7E87">
        <w:rPr>
          <w:rFonts w:asciiTheme="minorHAnsi" w:hAnsiTheme="minorHAnsi" w:cstheme="minorHAnsi"/>
          <w:iCs/>
          <w:color w:val="000000" w:themeColor="text1"/>
          <w:sz w:val="22"/>
          <w:szCs w:val="22"/>
        </w:rPr>
        <w:t xml:space="preserve"> </w:t>
      </w:r>
      <w:r w:rsidR="00C30831" w:rsidRPr="006F7E87">
        <w:rPr>
          <w:rFonts w:asciiTheme="minorHAnsi" w:hAnsiTheme="minorHAnsi" w:cstheme="minorHAnsi"/>
          <w:iCs/>
          <w:color w:val="000000" w:themeColor="text1"/>
          <w:sz w:val="22"/>
          <w:szCs w:val="22"/>
        </w:rPr>
        <w:t xml:space="preserve">preferred and </w:t>
      </w:r>
      <w:r w:rsidR="001C4E65" w:rsidRPr="006F7E87">
        <w:rPr>
          <w:rFonts w:asciiTheme="minorHAnsi" w:hAnsiTheme="minorHAnsi" w:cstheme="minorHAnsi"/>
          <w:iCs/>
          <w:color w:val="000000" w:themeColor="text1"/>
          <w:sz w:val="22"/>
          <w:szCs w:val="22"/>
        </w:rPr>
        <w:t>default position</w:t>
      </w:r>
      <w:r w:rsidRPr="006F7E87">
        <w:rPr>
          <w:rFonts w:asciiTheme="minorHAnsi" w:hAnsiTheme="minorHAnsi" w:cstheme="minorHAnsi"/>
          <w:iCs/>
          <w:color w:val="000000" w:themeColor="text1"/>
          <w:sz w:val="22"/>
          <w:szCs w:val="22"/>
        </w:rPr>
        <w:t xml:space="preserve"> will be to collect th</w:t>
      </w:r>
      <w:r w:rsidR="002172E8" w:rsidRPr="006F7E87">
        <w:rPr>
          <w:rFonts w:asciiTheme="minorHAnsi" w:hAnsiTheme="minorHAnsi" w:cstheme="minorHAnsi"/>
          <w:iCs/>
          <w:color w:val="000000" w:themeColor="text1"/>
          <w:sz w:val="22"/>
          <w:szCs w:val="22"/>
        </w:rPr>
        <w:t>e</w:t>
      </w:r>
      <w:r w:rsidRPr="006F7E87">
        <w:rPr>
          <w:rFonts w:asciiTheme="minorHAnsi" w:hAnsiTheme="minorHAnsi" w:cstheme="minorHAnsi"/>
          <w:iCs/>
          <w:color w:val="000000" w:themeColor="text1"/>
          <w:sz w:val="22"/>
          <w:szCs w:val="22"/>
        </w:rPr>
        <w:t xml:space="preserve"> cessation payment by way of a lump sum where it is the admission body that is making the payment.  </w:t>
      </w:r>
      <w:r w:rsidR="009D49C6" w:rsidRPr="006F7E87">
        <w:rPr>
          <w:rFonts w:asciiTheme="minorHAnsi" w:hAnsiTheme="minorHAnsi" w:cstheme="minorHAnsi"/>
          <w:iCs/>
          <w:color w:val="000000" w:themeColor="text1"/>
          <w:sz w:val="22"/>
          <w:szCs w:val="22"/>
        </w:rPr>
        <w:t xml:space="preserve">The Fund’s normal policy is that the payment is made within 30 days of the admission body being notified. </w:t>
      </w:r>
      <w:r w:rsidRPr="006F7E87">
        <w:rPr>
          <w:rFonts w:asciiTheme="minorHAnsi" w:hAnsiTheme="minorHAnsi" w:cstheme="minorHAnsi"/>
          <w:iCs/>
          <w:color w:val="000000" w:themeColor="text1"/>
          <w:sz w:val="22"/>
          <w:szCs w:val="22"/>
        </w:rPr>
        <w:t xml:space="preserve">The admission body may be allowed to spread payment over an extended period where this is agreed by the Head of Pensions and </w:t>
      </w:r>
      <w:r w:rsidR="00A61034" w:rsidRPr="006F7E87">
        <w:rPr>
          <w:rFonts w:asciiTheme="minorHAnsi" w:hAnsiTheme="minorHAnsi" w:cstheme="minorHAnsi"/>
          <w:iCs/>
          <w:color w:val="000000" w:themeColor="text1"/>
          <w:sz w:val="22"/>
          <w:szCs w:val="22"/>
        </w:rPr>
        <w:t>the Section 151 Officer</w:t>
      </w:r>
      <w:r w:rsidR="00001F27" w:rsidRPr="006F7E87">
        <w:rPr>
          <w:rFonts w:asciiTheme="minorHAnsi" w:hAnsiTheme="minorHAnsi" w:cstheme="minorHAnsi"/>
          <w:iCs/>
          <w:color w:val="000000" w:themeColor="text1"/>
          <w:sz w:val="22"/>
          <w:szCs w:val="22"/>
        </w:rPr>
        <w:t xml:space="preserve">, however, some form of security relating to the unpaid amount </w:t>
      </w:r>
      <w:r w:rsidR="00084AB3" w:rsidRPr="006F7E87">
        <w:rPr>
          <w:rFonts w:asciiTheme="minorHAnsi" w:hAnsiTheme="minorHAnsi" w:cstheme="minorHAnsi"/>
          <w:iCs/>
          <w:color w:val="000000" w:themeColor="text1"/>
          <w:sz w:val="22"/>
          <w:szCs w:val="22"/>
        </w:rPr>
        <w:t>may</w:t>
      </w:r>
      <w:r w:rsidR="00001F27" w:rsidRPr="006F7E87">
        <w:rPr>
          <w:rFonts w:asciiTheme="minorHAnsi" w:hAnsiTheme="minorHAnsi" w:cstheme="minorHAnsi"/>
          <w:iCs/>
          <w:color w:val="000000" w:themeColor="text1"/>
          <w:sz w:val="22"/>
          <w:szCs w:val="22"/>
        </w:rPr>
        <w:t xml:space="preserve"> be required</w:t>
      </w:r>
      <w:r w:rsidR="0095123C" w:rsidRPr="006F7E87">
        <w:rPr>
          <w:rFonts w:asciiTheme="minorHAnsi" w:hAnsiTheme="minorHAnsi" w:cstheme="minorHAnsi"/>
          <w:iCs/>
          <w:color w:val="000000" w:themeColor="text1"/>
          <w:sz w:val="22"/>
          <w:szCs w:val="22"/>
        </w:rPr>
        <w:t>: further details are contained in the Funding Strategy Statement</w:t>
      </w:r>
      <w:r w:rsidR="00001F27" w:rsidRPr="006F7E87">
        <w:rPr>
          <w:rFonts w:asciiTheme="minorHAnsi" w:hAnsiTheme="minorHAnsi" w:cstheme="minorHAnsi"/>
          <w:iCs/>
          <w:color w:val="000000" w:themeColor="text1"/>
          <w:sz w:val="22"/>
          <w:szCs w:val="22"/>
        </w:rPr>
        <w:t>.</w:t>
      </w:r>
    </w:p>
    <w:p w14:paraId="6415D484" w14:textId="590FBD88" w:rsidR="00FA20B2" w:rsidRPr="006F7E87" w:rsidRDefault="00FA20B2" w:rsidP="006F7E87">
      <w:pPr>
        <w:spacing w:after="180"/>
        <w:ind w:left="1276"/>
        <w:rPr>
          <w:rFonts w:asciiTheme="minorHAnsi" w:hAnsiTheme="minorHAnsi" w:cstheme="minorHAnsi"/>
          <w:iCs/>
          <w:color w:val="000000" w:themeColor="text1"/>
          <w:sz w:val="22"/>
          <w:szCs w:val="22"/>
        </w:rPr>
      </w:pPr>
      <w:r w:rsidRPr="006F7E87">
        <w:rPr>
          <w:rFonts w:asciiTheme="minorHAnsi" w:hAnsiTheme="minorHAnsi" w:cstheme="minorHAnsi"/>
          <w:iCs/>
          <w:color w:val="000000" w:themeColor="text1"/>
          <w:sz w:val="22"/>
          <w:szCs w:val="22"/>
        </w:rPr>
        <w:t xml:space="preserve">Where </w:t>
      </w:r>
      <w:r w:rsidR="002A6F0D" w:rsidRPr="006F7E87">
        <w:rPr>
          <w:rFonts w:asciiTheme="minorHAnsi" w:hAnsiTheme="minorHAnsi" w:cstheme="minorHAnsi"/>
          <w:iCs/>
          <w:color w:val="000000" w:themeColor="text1"/>
          <w:sz w:val="22"/>
          <w:szCs w:val="22"/>
        </w:rPr>
        <w:t>the</w:t>
      </w:r>
      <w:r w:rsidR="00001F27" w:rsidRPr="006F7E87">
        <w:rPr>
          <w:rFonts w:asciiTheme="minorHAnsi" w:hAnsiTheme="minorHAnsi" w:cstheme="minorHAnsi"/>
          <w:iCs/>
          <w:color w:val="000000" w:themeColor="text1"/>
          <w:sz w:val="22"/>
          <w:szCs w:val="22"/>
        </w:rPr>
        <w:t xml:space="preserve"> cessation debt cannot be repaid</w:t>
      </w:r>
      <w:r w:rsidR="002A6F0D" w:rsidRPr="006F7E87">
        <w:rPr>
          <w:rFonts w:asciiTheme="minorHAnsi" w:hAnsiTheme="minorHAnsi" w:cstheme="minorHAnsi"/>
          <w:iCs/>
          <w:color w:val="000000" w:themeColor="text1"/>
          <w:sz w:val="22"/>
          <w:szCs w:val="22"/>
        </w:rPr>
        <w:t xml:space="preserve"> by the admission body</w:t>
      </w:r>
      <w:r w:rsidRPr="006F7E87">
        <w:rPr>
          <w:rFonts w:asciiTheme="minorHAnsi" w:hAnsiTheme="minorHAnsi" w:cstheme="minorHAnsi"/>
          <w:iCs/>
          <w:color w:val="000000" w:themeColor="text1"/>
          <w:sz w:val="22"/>
          <w:szCs w:val="22"/>
        </w:rPr>
        <w:t xml:space="preserve">, any outstanding payment, once any bond, indemnity or alternative guarantor has been exhausted, may be recovered </w:t>
      </w:r>
      <w:r w:rsidR="00DA6DA1" w:rsidRPr="006F7E87">
        <w:rPr>
          <w:rFonts w:asciiTheme="minorHAnsi" w:hAnsiTheme="minorHAnsi" w:cstheme="minorHAnsi"/>
          <w:iCs/>
          <w:color w:val="000000" w:themeColor="text1"/>
          <w:sz w:val="22"/>
          <w:szCs w:val="22"/>
        </w:rPr>
        <w:t>by one of the following means</w:t>
      </w:r>
      <w:r w:rsidRPr="006F7E87">
        <w:rPr>
          <w:rFonts w:asciiTheme="minorHAnsi" w:hAnsiTheme="minorHAnsi" w:cstheme="minorHAnsi"/>
          <w:iCs/>
          <w:color w:val="000000" w:themeColor="text1"/>
          <w:sz w:val="22"/>
          <w:szCs w:val="22"/>
        </w:rPr>
        <w:t>:</w:t>
      </w:r>
    </w:p>
    <w:p w14:paraId="3486B83A" w14:textId="6AD53D0D" w:rsidR="00FA20B2" w:rsidRPr="00B94D92" w:rsidRDefault="00DA6DA1"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B94D92">
        <w:rPr>
          <w:rFonts w:asciiTheme="minorHAnsi" w:hAnsiTheme="minorHAnsi" w:cstheme="minorHAnsi"/>
          <w:color w:val="000000" w:themeColor="text1"/>
          <w:szCs w:val="22"/>
        </w:rPr>
        <w:t>by</w:t>
      </w:r>
      <w:r w:rsidR="00FA20B2" w:rsidRPr="00B94D92">
        <w:rPr>
          <w:rFonts w:asciiTheme="minorHAnsi" w:hAnsiTheme="minorHAnsi" w:cstheme="minorHAnsi"/>
          <w:color w:val="000000" w:themeColor="text1"/>
          <w:szCs w:val="22"/>
        </w:rPr>
        <w:t xml:space="preserve"> </w:t>
      </w:r>
      <w:r w:rsidR="00B264CE" w:rsidRPr="00B94D92">
        <w:rPr>
          <w:rFonts w:asciiTheme="minorHAnsi" w:hAnsiTheme="minorHAnsi" w:cstheme="minorHAnsi"/>
          <w:color w:val="000000" w:themeColor="text1"/>
          <w:szCs w:val="22"/>
        </w:rPr>
        <w:t>incorporating</w:t>
      </w:r>
      <w:r w:rsidR="006F7E87" w:rsidRPr="00B94D92">
        <w:rPr>
          <w:rFonts w:asciiTheme="minorHAnsi" w:hAnsiTheme="minorHAnsi" w:cstheme="minorHAnsi"/>
          <w:color w:val="000000" w:themeColor="text1"/>
          <w:szCs w:val="22"/>
        </w:rPr>
        <w:t xml:space="preserve"> </w:t>
      </w:r>
      <w:r w:rsidR="00EE77DE" w:rsidRPr="00B94D92">
        <w:rPr>
          <w:rFonts w:asciiTheme="minorHAnsi" w:hAnsiTheme="minorHAnsi" w:cstheme="minorHAnsi"/>
          <w:color w:val="000000" w:themeColor="text1"/>
          <w:szCs w:val="22"/>
        </w:rPr>
        <w:t>the cessation debt</w:t>
      </w:r>
      <w:r w:rsidR="00FA20B2" w:rsidRPr="00B94D92">
        <w:rPr>
          <w:rFonts w:asciiTheme="minorHAnsi" w:hAnsiTheme="minorHAnsi" w:cstheme="minorHAnsi"/>
          <w:color w:val="000000" w:themeColor="text1"/>
          <w:szCs w:val="22"/>
        </w:rPr>
        <w:t xml:space="preserve"> </w:t>
      </w:r>
      <w:r w:rsidR="00B264CE" w:rsidRPr="00B94D92">
        <w:rPr>
          <w:rFonts w:asciiTheme="minorHAnsi" w:hAnsiTheme="minorHAnsi" w:cstheme="minorHAnsi"/>
          <w:color w:val="000000" w:themeColor="text1"/>
          <w:szCs w:val="22"/>
        </w:rPr>
        <w:t>in</w:t>
      </w:r>
      <w:r w:rsidR="00FA20B2" w:rsidRPr="00B94D92">
        <w:rPr>
          <w:rFonts w:asciiTheme="minorHAnsi" w:hAnsiTheme="minorHAnsi" w:cstheme="minorHAnsi"/>
          <w:color w:val="000000" w:themeColor="text1"/>
          <w:szCs w:val="22"/>
        </w:rPr>
        <w:t xml:space="preserve">to the awarding authority’s </w:t>
      </w:r>
      <w:r w:rsidR="00162B47" w:rsidRPr="00B94D92">
        <w:rPr>
          <w:rFonts w:asciiTheme="minorHAnsi" w:hAnsiTheme="minorHAnsi" w:cstheme="minorHAnsi"/>
          <w:color w:val="000000" w:themeColor="text1"/>
          <w:szCs w:val="22"/>
        </w:rPr>
        <w:t xml:space="preserve">or guarantor’s </w:t>
      </w:r>
      <w:r w:rsidR="00FA20B2" w:rsidRPr="00B94D92">
        <w:rPr>
          <w:rFonts w:asciiTheme="minorHAnsi" w:hAnsiTheme="minorHAnsi" w:cstheme="minorHAnsi"/>
          <w:color w:val="000000" w:themeColor="text1"/>
          <w:szCs w:val="22"/>
        </w:rPr>
        <w:t xml:space="preserve">ongoing contribution rate, calculated by </w:t>
      </w:r>
      <w:r w:rsidR="00030088" w:rsidRPr="00B94D92">
        <w:rPr>
          <w:rFonts w:asciiTheme="minorHAnsi" w:hAnsiTheme="minorHAnsi" w:cstheme="minorHAnsi"/>
          <w:color w:val="000000" w:themeColor="text1"/>
          <w:szCs w:val="22"/>
        </w:rPr>
        <w:t>including the ceasing employer’s assets and liabilities in the awarding authority/guarantor’s share of the Fund</w:t>
      </w:r>
      <w:r w:rsidR="00FA20B2" w:rsidRPr="00B94D92">
        <w:rPr>
          <w:rFonts w:asciiTheme="minorHAnsi" w:hAnsiTheme="minorHAnsi" w:cstheme="minorHAnsi"/>
          <w:color w:val="000000" w:themeColor="text1"/>
          <w:szCs w:val="22"/>
        </w:rPr>
        <w:t xml:space="preserve">. The </w:t>
      </w:r>
      <w:r w:rsidR="00C94DE4" w:rsidRPr="00B94D92">
        <w:rPr>
          <w:rFonts w:asciiTheme="minorHAnsi" w:hAnsiTheme="minorHAnsi" w:cstheme="minorHAnsi"/>
          <w:color w:val="000000" w:themeColor="text1"/>
          <w:szCs w:val="22"/>
        </w:rPr>
        <w:t>Administering Authority</w:t>
      </w:r>
      <w:r w:rsidR="00C94DE4" w:rsidRPr="00B94D92" w:rsidDel="00C94DE4">
        <w:rPr>
          <w:rFonts w:asciiTheme="minorHAnsi" w:hAnsiTheme="minorHAnsi" w:cstheme="minorHAnsi"/>
          <w:color w:val="000000" w:themeColor="text1"/>
          <w:szCs w:val="22"/>
        </w:rPr>
        <w:t xml:space="preserve"> </w:t>
      </w:r>
      <w:r w:rsidR="00FA20B2" w:rsidRPr="00B94D92">
        <w:rPr>
          <w:rFonts w:asciiTheme="minorHAnsi" w:hAnsiTheme="minorHAnsi" w:cstheme="minorHAnsi"/>
          <w:color w:val="000000" w:themeColor="text1"/>
          <w:szCs w:val="22"/>
        </w:rPr>
        <w:t xml:space="preserve">reserves the right to require payment by immediate lump sum; </w:t>
      </w:r>
    </w:p>
    <w:p w14:paraId="2F564E9B" w14:textId="465013BC" w:rsidR="00114EBD" w:rsidRPr="00B94D92" w:rsidRDefault="00FA20B2"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B94D92">
        <w:rPr>
          <w:rFonts w:asciiTheme="minorHAnsi" w:hAnsiTheme="minorHAnsi" w:cstheme="minorHAnsi"/>
          <w:color w:val="000000" w:themeColor="text1"/>
          <w:szCs w:val="22"/>
        </w:rPr>
        <w:t>where the deficit is to be spread amongst all the employers in the fund, the rates and adjustments certificate will allow for any ongoing deficit for departed employers at each triennial valuation, commencing from the first triennial valuation after the body</w:t>
      </w:r>
      <w:r w:rsidR="002172E8" w:rsidRPr="00B94D92">
        <w:rPr>
          <w:rFonts w:asciiTheme="minorHAnsi" w:hAnsiTheme="minorHAnsi" w:cstheme="minorHAnsi"/>
          <w:color w:val="000000" w:themeColor="text1"/>
          <w:szCs w:val="22"/>
        </w:rPr>
        <w:t xml:space="preserve"> or bodies</w:t>
      </w:r>
      <w:r w:rsidRPr="00B94D92">
        <w:rPr>
          <w:rFonts w:asciiTheme="minorHAnsi" w:hAnsiTheme="minorHAnsi" w:cstheme="minorHAnsi"/>
          <w:color w:val="000000" w:themeColor="text1"/>
          <w:szCs w:val="22"/>
        </w:rPr>
        <w:t xml:space="preserve"> depart (unless the results of that valuation have already been finalised)</w:t>
      </w:r>
      <w:r w:rsidR="00114EBD" w:rsidRPr="00B94D92">
        <w:rPr>
          <w:rFonts w:asciiTheme="minorHAnsi" w:hAnsiTheme="minorHAnsi" w:cstheme="minorHAnsi"/>
          <w:color w:val="000000" w:themeColor="text1"/>
          <w:szCs w:val="22"/>
        </w:rPr>
        <w:t>;</w:t>
      </w:r>
      <w:r w:rsidRPr="00B94D92">
        <w:rPr>
          <w:rFonts w:asciiTheme="minorHAnsi" w:hAnsiTheme="minorHAnsi" w:cstheme="minorHAnsi"/>
          <w:color w:val="000000" w:themeColor="text1"/>
          <w:szCs w:val="22"/>
        </w:rPr>
        <w:t xml:space="preserve">  </w:t>
      </w:r>
    </w:p>
    <w:p w14:paraId="1D12595E" w14:textId="77777777" w:rsidR="008643D4" w:rsidRPr="00EC7ACE" w:rsidRDefault="00162B47" w:rsidP="00EC7ACE">
      <w:pPr>
        <w:pStyle w:val="ListParagraph"/>
        <w:numPr>
          <w:ilvl w:val="0"/>
          <w:numId w:val="7"/>
        </w:numPr>
        <w:spacing w:after="180"/>
        <w:rPr>
          <w:rFonts w:asciiTheme="minorHAnsi" w:hAnsiTheme="minorHAnsi" w:cstheme="minorHAnsi"/>
          <w:iCs/>
          <w:color w:val="000000" w:themeColor="text1"/>
          <w:szCs w:val="22"/>
          <w:lang w:val="en-US" w:eastAsia="en-US"/>
        </w:rPr>
      </w:pPr>
      <w:r w:rsidRPr="00EC7ACE">
        <w:rPr>
          <w:rFonts w:asciiTheme="minorHAnsi" w:hAnsiTheme="minorHAnsi" w:cstheme="minorHAnsi"/>
          <w:color w:val="000000" w:themeColor="text1"/>
          <w:szCs w:val="22"/>
        </w:rPr>
        <w:t xml:space="preserve">the approach in the previous bullet may be deferred whilst there are sufficient assets in the ceased </w:t>
      </w:r>
      <w:r w:rsidRPr="00EC7ACE">
        <w:rPr>
          <w:rFonts w:asciiTheme="minorHAnsi" w:hAnsiTheme="minorHAnsi" w:cstheme="minorHAnsi"/>
          <w:iCs/>
          <w:color w:val="auto"/>
          <w:szCs w:val="22"/>
        </w:rPr>
        <w:t xml:space="preserve">employer’s share, </w:t>
      </w:r>
      <w:r w:rsidRPr="00EC7ACE">
        <w:rPr>
          <w:rFonts w:asciiTheme="minorHAnsi" w:hAnsiTheme="minorHAnsi" w:cstheme="minorHAnsi"/>
          <w:iCs/>
          <w:color w:val="000000" w:themeColor="text1"/>
          <w:szCs w:val="22"/>
          <w:lang w:val="en-US" w:eastAsia="en-US"/>
        </w:rPr>
        <w:t>to pay benefits to its ex-employees</w:t>
      </w:r>
      <w:r w:rsidR="00114EBD" w:rsidRPr="00EC7ACE">
        <w:rPr>
          <w:rFonts w:asciiTheme="minorHAnsi" w:hAnsiTheme="minorHAnsi" w:cstheme="minorHAnsi"/>
          <w:iCs/>
          <w:color w:val="000000" w:themeColor="text1"/>
          <w:szCs w:val="22"/>
          <w:lang w:val="en-US" w:eastAsia="en-US"/>
        </w:rPr>
        <w:t>;</w:t>
      </w:r>
    </w:p>
    <w:p w14:paraId="63FB2272" w14:textId="16277BC7" w:rsidR="001B3D17" w:rsidRPr="00B94D92" w:rsidRDefault="001B3D17" w:rsidP="00EC7ACE">
      <w:pPr>
        <w:spacing w:after="180"/>
        <w:ind w:left="1276"/>
        <w:rPr>
          <w:rFonts w:asciiTheme="minorHAnsi" w:hAnsiTheme="minorHAnsi" w:cstheme="minorHAnsi"/>
          <w:iCs/>
          <w:sz w:val="22"/>
          <w:szCs w:val="22"/>
          <w:lang w:val="en-GB" w:eastAsia="en-GB"/>
        </w:rPr>
      </w:pPr>
      <w:r w:rsidRPr="00EC7ACE">
        <w:rPr>
          <w:rFonts w:asciiTheme="minorHAnsi" w:hAnsiTheme="minorHAnsi" w:cstheme="minorHAnsi"/>
          <w:iCs/>
          <w:color w:val="000000" w:themeColor="text1"/>
          <w:sz w:val="22"/>
          <w:szCs w:val="22"/>
        </w:rPr>
        <w:t xml:space="preserve">The </w:t>
      </w:r>
      <w:r w:rsidR="004162A9" w:rsidRPr="00EC7ACE">
        <w:rPr>
          <w:rFonts w:asciiTheme="minorHAnsi" w:hAnsiTheme="minorHAnsi" w:cstheme="minorHAnsi"/>
          <w:iCs/>
          <w:color w:val="000000" w:themeColor="text1"/>
          <w:sz w:val="22"/>
          <w:szCs w:val="22"/>
        </w:rPr>
        <w:t>A</w:t>
      </w:r>
      <w:r w:rsidRPr="00EC7ACE">
        <w:rPr>
          <w:rFonts w:asciiTheme="minorHAnsi" w:hAnsiTheme="minorHAnsi" w:cstheme="minorHAnsi"/>
          <w:iCs/>
          <w:color w:val="000000" w:themeColor="text1"/>
          <w:sz w:val="22"/>
          <w:szCs w:val="22"/>
        </w:rPr>
        <w:t xml:space="preserve">dministering </w:t>
      </w:r>
      <w:r w:rsidR="004162A9" w:rsidRPr="00EC7ACE">
        <w:rPr>
          <w:rFonts w:asciiTheme="minorHAnsi" w:hAnsiTheme="minorHAnsi" w:cstheme="minorHAnsi"/>
          <w:iCs/>
          <w:color w:val="000000" w:themeColor="text1"/>
          <w:sz w:val="22"/>
          <w:szCs w:val="22"/>
        </w:rPr>
        <w:t>A</w:t>
      </w:r>
      <w:r w:rsidRPr="00EC7ACE">
        <w:rPr>
          <w:rFonts w:asciiTheme="minorHAnsi" w:hAnsiTheme="minorHAnsi" w:cstheme="minorHAnsi"/>
          <w:iCs/>
          <w:color w:val="000000" w:themeColor="text1"/>
          <w:sz w:val="22"/>
          <w:szCs w:val="22"/>
        </w:rPr>
        <w:t>uthority will in all</w:t>
      </w:r>
      <w:r w:rsidRPr="00B94D92">
        <w:rPr>
          <w:rFonts w:asciiTheme="minorHAnsi" w:hAnsiTheme="minorHAnsi" w:cstheme="minorHAnsi"/>
          <w:iCs/>
          <w:sz w:val="22"/>
          <w:szCs w:val="22"/>
          <w:lang w:val="en-GB" w:eastAsia="en-GB"/>
        </w:rPr>
        <w:t xml:space="preserve"> cases seek to maximise the monies recoverable</w:t>
      </w:r>
      <w:r w:rsidR="003C6093" w:rsidRPr="00B94D92">
        <w:rPr>
          <w:rFonts w:asciiTheme="minorHAnsi" w:hAnsiTheme="minorHAnsi" w:cstheme="minorHAnsi"/>
          <w:iCs/>
          <w:sz w:val="22"/>
          <w:szCs w:val="22"/>
          <w:lang w:val="en-GB" w:eastAsia="en-GB"/>
        </w:rPr>
        <w:t xml:space="preserve"> and hence minimise the risk of deficit costs being levied on other Fund employers</w:t>
      </w:r>
      <w:r w:rsidRPr="00B94D92">
        <w:rPr>
          <w:rFonts w:asciiTheme="minorHAnsi" w:hAnsiTheme="minorHAnsi" w:cstheme="minorHAnsi"/>
          <w:iCs/>
          <w:sz w:val="22"/>
          <w:szCs w:val="22"/>
          <w:lang w:val="en-GB" w:eastAsia="en-GB"/>
        </w:rPr>
        <w:t>. In exceptional circumstances this may result in an admission body paying less than the full cessation deficit. Any such cases will be subject to approval by the Pension Fund Committee.</w:t>
      </w:r>
    </w:p>
    <w:p w14:paraId="34654B34" w14:textId="671EFCA6" w:rsidR="001B3D17" w:rsidRPr="00B94D92" w:rsidRDefault="001B3D17" w:rsidP="00B94D92">
      <w:pPr>
        <w:pStyle w:val="Heading3Num"/>
        <w:tabs>
          <w:tab w:val="clear" w:pos="2127"/>
        </w:tabs>
        <w:ind w:left="1276" w:hanging="1276"/>
      </w:pPr>
      <w:bookmarkStart w:id="18" w:name="_Toc80875376"/>
      <w:r w:rsidRPr="00B94D92">
        <w:t>Payment of surplus / exit credit</w:t>
      </w:r>
      <w:bookmarkEnd w:id="18"/>
    </w:p>
    <w:p w14:paraId="2D02D0ED" w14:textId="6BB8BEF2" w:rsidR="00491A95" w:rsidRPr="00476917" w:rsidRDefault="001B3D17" w:rsidP="001B3D17">
      <w:pPr>
        <w:spacing w:after="180"/>
        <w:ind w:left="1276" w:hanging="1276"/>
        <w:rPr>
          <w:rFonts w:asciiTheme="minorHAnsi" w:hAnsiTheme="minorHAnsi" w:cstheme="minorHAnsi"/>
          <w:iCs/>
          <w:sz w:val="22"/>
          <w:szCs w:val="22"/>
          <w:lang w:val="en-GB" w:eastAsia="en-GB"/>
        </w:rPr>
      </w:pPr>
      <w:r>
        <w:rPr>
          <w:rFonts w:ascii="Arial" w:hAnsi="Arial" w:cs="Arial"/>
          <w:iCs/>
          <w:szCs w:val="24"/>
          <w:lang w:val="en-GB" w:eastAsia="en-GB"/>
        </w:rPr>
        <w:tab/>
      </w:r>
      <w:r w:rsidR="00027850" w:rsidRPr="00476917">
        <w:rPr>
          <w:rFonts w:asciiTheme="minorHAnsi" w:hAnsiTheme="minorHAnsi" w:cstheme="minorHAnsi"/>
          <w:iCs/>
          <w:sz w:val="22"/>
          <w:szCs w:val="22"/>
          <w:lang w:val="en-GB" w:eastAsia="en-GB"/>
        </w:rPr>
        <w:t xml:space="preserve">Where the </w:t>
      </w:r>
      <w:r w:rsidR="00C94DE4" w:rsidRPr="00476917">
        <w:rPr>
          <w:rFonts w:asciiTheme="minorHAnsi" w:hAnsiTheme="minorHAnsi" w:cstheme="minorHAnsi"/>
          <w:color w:val="000000" w:themeColor="text1"/>
          <w:sz w:val="22"/>
          <w:szCs w:val="22"/>
        </w:rPr>
        <w:t>Administering Authority</w:t>
      </w:r>
      <w:r w:rsidR="00C94DE4" w:rsidRPr="00476917" w:rsidDel="00C94DE4">
        <w:rPr>
          <w:rFonts w:asciiTheme="minorHAnsi" w:hAnsiTheme="minorHAnsi" w:cstheme="minorHAnsi"/>
          <w:iCs/>
          <w:sz w:val="22"/>
          <w:szCs w:val="22"/>
          <w:lang w:val="en-GB" w:eastAsia="en-GB"/>
        </w:rPr>
        <w:t xml:space="preserve"> </w:t>
      </w:r>
      <w:r w:rsidR="00027850" w:rsidRPr="00476917">
        <w:rPr>
          <w:rFonts w:asciiTheme="minorHAnsi" w:hAnsiTheme="minorHAnsi" w:cstheme="minorHAnsi"/>
          <w:iCs/>
          <w:sz w:val="22"/>
          <w:szCs w:val="22"/>
          <w:lang w:val="en-GB" w:eastAsia="en-GB"/>
        </w:rPr>
        <w:t xml:space="preserve">determines that an exit credit </w:t>
      </w:r>
      <w:r w:rsidR="006E56F9" w:rsidRPr="00476917">
        <w:rPr>
          <w:rFonts w:asciiTheme="minorHAnsi" w:hAnsiTheme="minorHAnsi" w:cstheme="minorHAnsi"/>
          <w:iCs/>
          <w:sz w:val="22"/>
          <w:szCs w:val="22"/>
          <w:lang w:val="en-GB" w:eastAsia="en-GB"/>
        </w:rPr>
        <w:t>may be</w:t>
      </w:r>
      <w:r w:rsidR="00027850" w:rsidRPr="00476917">
        <w:rPr>
          <w:rFonts w:asciiTheme="minorHAnsi" w:hAnsiTheme="minorHAnsi" w:cstheme="minorHAnsi"/>
          <w:iCs/>
          <w:sz w:val="22"/>
          <w:szCs w:val="22"/>
          <w:lang w:val="en-GB" w:eastAsia="en-GB"/>
        </w:rPr>
        <w:t xml:space="preserve"> payable, the Administering Authority will</w:t>
      </w:r>
      <w:r w:rsidR="00084AB3" w:rsidRPr="00476917">
        <w:rPr>
          <w:rFonts w:asciiTheme="minorHAnsi" w:hAnsiTheme="minorHAnsi" w:cstheme="minorHAnsi"/>
          <w:iCs/>
          <w:sz w:val="22"/>
          <w:szCs w:val="22"/>
          <w:lang w:val="en-GB" w:eastAsia="en-GB"/>
        </w:rPr>
        <w:t>:</w:t>
      </w:r>
    </w:p>
    <w:p w14:paraId="6015CF11" w14:textId="77777777" w:rsidR="00491A95" w:rsidRPr="00B94D92" w:rsidRDefault="00491A95" w:rsidP="00EC7ACE">
      <w:pPr>
        <w:pStyle w:val="ListParagraph"/>
        <w:numPr>
          <w:ilvl w:val="0"/>
          <w:numId w:val="7"/>
        </w:numPr>
        <w:autoSpaceDE w:val="0"/>
        <w:autoSpaceDN w:val="0"/>
        <w:adjustRightInd w:val="0"/>
        <w:rPr>
          <w:rFonts w:asciiTheme="minorHAnsi" w:hAnsiTheme="minorHAnsi" w:cstheme="minorHAnsi"/>
          <w:color w:val="000000" w:themeColor="text1"/>
          <w:szCs w:val="22"/>
        </w:rPr>
      </w:pPr>
      <w:r w:rsidRPr="00B94D92">
        <w:rPr>
          <w:rFonts w:asciiTheme="minorHAnsi" w:hAnsiTheme="minorHAnsi" w:cstheme="minorHAnsi"/>
          <w:color w:val="000000" w:themeColor="text1"/>
          <w:szCs w:val="22"/>
        </w:rPr>
        <w:t>promptly notify the employer – and any other relevant body – of its intention to make a determination as to the value, if any, of any exit credit payable to the employer</w:t>
      </w:r>
    </w:p>
    <w:p w14:paraId="3FB59724" w14:textId="77777777" w:rsidR="001B3D17" w:rsidRPr="00191D77" w:rsidRDefault="00027850" w:rsidP="00EC7ACE">
      <w:pPr>
        <w:pStyle w:val="ListParagraph"/>
        <w:numPr>
          <w:ilvl w:val="0"/>
          <w:numId w:val="7"/>
        </w:numPr>
        <w:autoSpaceDE w:val="0"/>
        <w:autoSpaceDN w:val="0"/>
        <w:adjustRightInd w:val="0"/>
        <w:rPr>
          <w:rFonts w:asciiTheme="minorHAnsi" w:hAnsiTheme="minorHAnsi" w:cstheme="minorHAnsi"/>
          <w:szCs w:val="22"/>
        </w:rPr>
      </w:pPr>
      <w:r w:rsidRPr="00B94D92">
        <w:rPr>
          <w:rFonts w:asciiTheme="minorHAnsi" w:hAnsiTheme="minorHAnsi" w:cstheme="minorHAnsi"/>
          <w:color w:val="auto"/>
          <w:szCs w:val="22"/>
        </w:rPr>
        <w:t>revise the rates and adjustments certificate showing the excess of assets over the liabilities as assessed by the actuary</w:t>
      </w:r>
    </w:p>
    <w:p w14:paraId="3474235C" w14:textId="0ACEFE99" w:rsidR="00084AB3" w:rsidRPr="00B94D92" w:rsidRDefault="00084AB3" w:rsidP="00EC7ACE">
      <w:pPr>
        <w:pStyle w:val="ListParagraph"/>
        <w:numPr>
          <w:ilvl w:val="0"/>
          <w:numId w:val="7"/>
        </w:numPr>
        <w:autoSpaceDE w:val="0"/>
        <w:autoSpaceDN w:val="0"/>
        <w:adjustRightInd w:val="0"/>
        <w:rPr>
          <w:rFonts w:asciiTheme="minorHAnsi" w:hAnsiTheme="minorHAnsi" w:cstheme="minorHAnsi"/>
          <w:iCs/>
          <w:color w:val="auto"/>
          <w:szCs w:val="22"/>
        </w:rPr>
      </w:pPr>
      <w:r w:rsidRPr="00B94D92">
        <w:rPr>
          <w:rFonts w:asciiTheme="minorHAnsi" w:hAnsiTheme="minorHAnsi" w:cstheme="minorHAnsi"/>
          <w:color w:val="auto"/>
          <w:szCs w:val="22"/>
        </w:rPr>
        <w:t>make any</w:t>
      </w:r>
      <w:r w:rsidRPr="00A705D8">
        <w:rPr>
          <w:rFonts w:asciiTheme="minorHAnsi" w:hAnsiTheme="minorHAnsi" w:cstheme="minorHAnsi"/>
          <w:iCs/>
          <w:color w:val="auto"/>
          <w:szCs w:val="22"/>
        </w:rPr>
        <w:t xml:space="preserve"> necessary exit credit payment to an employer within six months of the cessation date (or another date agreed between the Administering Authority and the employer)</w:t>
      </w:r>
      <w:r w:rsidR="00B94D92">
        <w:rPr>
          <w:rFonts w:asciiTheme="minorHAnsi" w:hAnsiTheme="minorHAnsi" w:cstheme="minorHAnsi"/>
          <w:iCs/>
          <w:color w:val="auto"/>
          <w:szCs w:val="22"/>
        </w:rPr>
        <w:t>.</w:t>
      </w:r>
    </w:p>
    <w:p w14:paraId="01F6D04A" w14:textId="77777777" w:rsidR="00F37FAC" w:rsidRPr="00476917" w:rsidRDefault="00F37FAC" w:rsidP="00B94D92">
      <w:pPr>
        <w:pStyle w:val="ListParagraph"/>
        <w:numPr>
          <w:ilvl w:val="0"/>
          <w:numId w:val="0"/>
        </w:numPr>
        <w:autoSpaceDE w:val="0"/>
        <w:autoSpaceDN w:val="0"/>
        <w:adjustRightInd w:val="0"/>
        <w:ind w:left="1211"/>
        <w:rPr>
          <w:rFonts w:asciiTheme="minorHAnsi" w:hAnsiTheme="minorHAnsi" w:cstheme="minorHAnsi"/>
          <w:iCs/>
          <w:szCs w:val="22"/>
        </w:rPr>
      </w:pPr>
    </w:p>
    <w:p w14:paraId="667D4DBF" w14:textId="26B35E8F" w:rsidR="00084AB3" w:rsidRPr="00476917" w:rsidRDefault="00084AB3" w:rsidP="00B94D92">
      <w:pPr>
        <w:spacing w:after="180"/>
        <w:ind w:left="491" w:firstLine="720"/>
        <w:rPr>
          <w:rFonts w:asciiTheme="minorHAnsi" w:hAnsiTheme="minorHAnsi" w:cstheme="minorHAnsi"/>
          <w:iCs/>
          <w:sz w:val="22"/>
          <w:szCs w:val="22"/>
          <w:lang w:val="en-GB" w:eastAsia="en-GB"/>
        </w:rPr>
      </w:pPr>
      <w:r w:rsidRPr="00476917">
        <w:rPr>
          <w:rFonts w:asciiTheme="minorHAnsi" w:hAnsiTheme="minorHAnsi" w:cstheme="minorHAnsi"/>
          <w:iCs/>
          <w:sz w:val="22"/>
          <w:szCs w:val="22"/>
          <w:lang w:val="en-GB" w:eastAsia="en-GB"/>
        </w:rPr>
        <w:t>Further details can be found within the Funding Strategy Statement.</w:t>
      </w:r>
    </w:p>
    <w:p w14:paraId="4760910D" w14:textId="27651EB8" w:rsidR="002D1AFF" w:rsidRPr="00B94D92" w:rsidRDefault="002D1AFF" w:rsidP="00CF7A58">
      <w:pPr>
        <w:pStyle w:val="Heading2Num"/>
        <w:tabs>
          <w:tab w:val="clear" w:pos="1277"/>
          <w:tab w:val="num" w:pos="1276"/>
        </w:tabs>
        <w:ind w:hanging="1277"/>
        <w:rPr>
          <w:color w:val="auto"/>
        </w:rPr>
      </w:pPr>
      <w:bookmarkStart w:id="19" w:name="_Toc340825047"/>
      <w:bookmarkStart w:id="20" w:name="_Toc80875377"/>
      <w:r w:rsidRPr="00B94D92">
        <w:rPr>
          <w:color w:val="auto"/>
        </w:rPr>
        <w:t xml:space="preserve">Scheduled and </w:t>
      </w:r>
      <w:r w:rsidR="00CA511F" w:rsidRPr="00B94D92">
        <w:rPr>
          <w:color w:val="auto"/>
        </w:rPr>
        <w:t>d</w:t>
      </w:r>
      <w:r w:rsidRPr="00B94D92">
        <w:rPr>
          <w:color w:val="auto"/>
        </w:rPr>
        <w:t xml:space="preserve">esignating </w:t>
      </w:r>
      <w:r w:rsidR="00CA511F" w:rsidRPr="00B94D92">
        <w:rPr>
          <w:color w:val="auto"/>
        </w:rPr>
        <w:t>b</w:t>
      </w:r>
      <w:r w:rsidRPr="00B94D92">
        <w:rPr>
          <w:color w:val="auto"/>
        </w:rPr>
        <w:t>odies</w:t>
      </w:r>
      <w:bookmarkEnd w:id="19"/>
      <w:r w:rsidR="00162B47" w:rsidRPr="00B94D92">
        <w:rPr>
          <w:color w:val="auto"/>
        </w:rPr>
        <w:t xml:space="preserve"> (“</w:t>
      </w:r>
      <w:r w:rsidR="00CA511F" w:rsidRPr="00B94D92">
        <w:rPr>
          <w:color w:val="auto"/>
        </w:rPr>
        <w:t>s</w:t>
      </w:r>
      <w:r w:rsidR="00162B47" w:rsidRPr="00B94D92">
        <w:rPr>
          <w:color w:val="auto"/>
        </w:rPr>
        <w:t>cheme employers”)</w:t>
      </w:r>
      <w:bookmarkEnd w:id="20"/>
    </w:p>
    <w:p w14:paraId="5EA97CDB" w14:textId="1C7A35A8" w:rsidR="00FA20B2" w:rsidRPr="00C251DE" w:rsidRDefault="00162B47" w:rsidP="00C251DE">
      <w:pPr>
        <w:ind w:left="1277"/>
        <w:rPr>
          <w:rFonts w:asciiTheme="minorHAnsi" w:hAnsiTheme="minorHAnsi" w:cstheme="minorHAnsi"/>
          <w:sz w:val="22"/>
          <w:szCs w:val="22"/>
        </w:rPr>
      </w:pPr>
      <w:r w:rsidRPr="00C251DE">
        <w:rPr>
          <w:rFonts w:asciiTheme="minorHAnsi" w:hAnsiTheme="minorHAnsi" w:cstheme="minorHAnsi"/>
          <w:sz w:val="22"/>
          <w:szCs w:val="22"/>
        </w:rPr>
        <w:t xml:space="preserve">These are employers who have a right to participate in the </w:t>
      </w:r>
      <w:r w:rsidR="00CC700A" w:rsidRPr="00C251DE">
        <w:rPr>
          <w:rFonts w:asciiTheme="minorHAnsi" w:hAnsiTheme="minorHAnsi" w:cstheme="minorHAnsi"/>
          <w:sz w:val="22"/>
          <w:szCs w:val="22"/>
        </w:rPr>
        <w:t>F</w:t>
      </w:r>
      <w:r w:rsidR="003658B2" w:rsidRPr="00C251DE">
        <w:rPr>
          <w:rFonts w:asciiTheme="minorHAnsi" w:hAnsiTheme="minorHAnsi" w:cstheme="minorHAnsi"/>
          <w:sz w:val="22"/>
          <w:szCs w:val="22"/>
        </w:rPr>
        <w:t>und</w:t>
      </w:r>
      <w:r w:rsidRPr="00C251DE">
        <w:rPr>
          <w:rFonts w:asciiTheme="minorHAnsi" w:hAnsiTheme="minorHAnsi" w:cstheme="minorHAnsi"/>
          <w:sz w:val="22"/>
          <w:szCs w:val="22"/>
        </w:rPr>
        <w:t>, as opposed to joining via an admission agreement.</w:t>
      </w:r>
      <w:r w:rsidR="00415841" w:rsidRPr="00C251DE">
        <w:rPr>
          <w:rFonts w:asciiTheme="minorHAnsi" w:hAnsiTheme="minorHAnsi" w:cstheme="minorHAnsi"/>
          <w:sz w:val="22"/>
          <w:szCs w:val="22"/>
        </w:rPr>
        <w:t xml:space="preserve"> They include local authorities, </w:t>
      </w:r>
      <w:r w:rsidR="00DA24FE" w:rsidRPr="00C251DE">
        <w:rPr>
          <w:rFonts w:asciiTheme="minorHAnsi" w:hAnsiTheme="minorHAnsi" w:cstheme="minorHAnsi"/>
          <w:sz w:val="22"/>
          <w:szCs w:val="22"/>
        </w:rPr>
        <w:t>town &amp; parish councils, academy schools</w:t>
      </w:r>
      <w:r w:rsidR="001A33C4" w:rsidRPr="00C251DE">
        <w:rPr>
          <w:rFonts w:asciiTheme="minorHAnsi" w:hAnsiTheme="minorHAnsi" w:cstheme="minorHAnsi"/>
          <w:sz w:val="22"/>
          <w:szCs w:val="22"/>
        </w:rPr>
        <w:t>, and other employers listed in parts 1 and 2 of schedule 2 of the Regulations</w:t>
      </w:r>
      <w:r w:rsidR="00DA24FE" w:rsidRPr="00C251DE">
        <w:rPr>
          <w:rFonts w:asciiTheme="minorHAnsi" w:hAnsiTheme="minorHAnsi" w:cstheme="minorHAnsi"/>
          <w:sz w:val="22"/>
          <w:szCs w:val="22"/>
        </w:rPr>
        <w:t>.</w:t>
      </w:r>
    </w:p>
    <w:p w14:paraId="17693D9C" w14:textId="77777777" w:rsidR="00CF7A58" w:rsidRPr="00CF7A58" w:rsidRDefault="00CF7A58" w:rsidP="00CF7A58">
      <w:pPr>
        <w:rPr>
          <w:lang w:val="en-GB"/>
        </w:rPr>
      </w:pPr>
    </w:p>
    <w:p w14:paraId="2727D54C" w14:textId="7B02D48E" w:rsidR="00FA20B2" w:rsidRPr="00CF7A58" w:rsidRDefault="002D1AFF" w:rsidP="00CF7A58">
      <w:pPr>
        <w:pStyle w:val="Heading3Num"/>
        <w:tabs>
          <w:tab w:val="clear" w:pos="2127"/>
          <w:tab w:val="num" w:pos="1276"/>
        </w:tabs>
        <w:ind w:hanging="2127"/>
      </w:pPr>
      <w:bookmarkStart w:id="21" w:name="_Toc80875378"/>
      <w:r w:rsidRPr="00CF7A58">
        <w:t xml:space="preserve">Allocation of </w:t>
      </w:r>
      <w:r w:rsidR="00CA511F">
        <w:t>a</w:t>
      </w:r>
      <w:r w:rsidRPr="00CF7A58">
        <w:t>ssets</w:t>
      </w:r>
      <w:bookmarkEnd w:id="21"/>
      <w:r w:rsidRPr="00CF7A58">
        <w:t xml:space="preserve"> </w:t>
      </w:r>
    </w:p>
    <w:p w14:paraId="3E2E8220" w14:textId="77777777" w:rsidR="002D1AFF" w:rsidRPr="00CF7A58" w:rsidRDefault="002D1AFF" w:rsidP="00CF7A58">
      <w:pPr>
        <w:spacing w:after="180"/>
        <w:ind w:left="556" w:firstLine="720"/>
        <w:rPr>
          <w:rFonts w:asciiTheme="minorHAnsi" w:hAnsiTheme="minorHAnsi" w:cstheme="minorHAnsi"/>
          <w:iCs/>
          <w:color w:val="000000" w:themeColor="text1"/>
          <w:sz w:val="22"/>
          <w:szCs w:val="22"/>
        </w:rPr>
      </w:pPr>
      <w:r w:rsidRPr="00CF7A58">
        <w:rPr>
          <w:rFonts w:asciiTheme="minorHAnsi" w:hAnsiTheme="minorHAnsi" w:cstheme="minorHAnsi"/>
          <w:iCs/>
          <w:color w:val="000000" w:themeColor="text1"/>
          <w:sz w:val="22"/>
          <w:szCs w:val="22"/>
        </w:rPr>
        <w:t xml:space="preserve">The allocation of </w:t>
      </w:r>
      <w:r w:rsidR="003F3B69" w:rsidRPr="00CF7A58">
        <w:rPr>
          <w:rFonts w:asciiTheme="minorHAnsi" w:hAnsiTheme="minorHAnsi" w:cstheme="minorHAnsi"/>
          <w:iCs/>
          <w:color w:val="000000" w:themeColor="text1"/>
          <w:sz w:val="22"/>
          <w:szCs w:val="22"/>
        </w:rPr>
        <w:t>assets at the commencement of an employer</w:t>
      </w:r>
      <w:r w:rsidRPr="00CF7A58">
        <w:rPr>
          <w:rFonts w:asciiTheme="minorHAnsi" w:hAnsiTheme="minorHAnsi" w:cstheme="minorHAnsi"/>
          <w:iCs/>
          <w:color w:val="000000" w:themeColor="text1"/>
          <w:sz w:val="22"/>
          <w:szCs w:val="22"/>
        </w:rPr>
        <w:t xml:space="preserve"> will be as follows:</w:t>
      </w:r>
    </w:p>
    <w:p w14:paraId="1942E456" w14:textId="7145E4A3" w:rsidR="0054019D" w:rsidRPr="00B94D92" w:rsidRDefault="002D1AFF" w:rsidP="00EC7ACE">
      <w:pPr>
        <w:pStyle w:val="ListParagraph"/>
        <w:numPr>
          <w:ilvl w:val="0"/>
          <w:numId w:val="7"/>
        </w:numPr>
        <w:autoSpaceDE w:val="0"/>
        <w:autoSpaceDN w:val="0"/>
        <w:adjustRightInd w:val="0"/>
        <w:rPr>
          <w:rFonts w:asciiTheme="minorHAnsi" w:hAnsiTheme="minorHAnsi" w:cstheme="minorHAnsi"/>
          <w:color w:val="auto"/>
          <w:szCs w:val="22"/>
        </w:rPr>
      </w:pPr>
      <w:r w:rsidRPr="00B94D92">
        <w:rPr>
          <w:rFonts w:asciiTheme="minorHAnsi" w:hAnsiTheme="minorHAnsi" w:cstheme="minorHAnsi"/>
          <w:color w:val="auto"/>
          <w:szCs w:val="22"/>
        </w:rPr>
        <w:t xml:space="preserve">Academy </w:t>
      </w:r>
      <w:r w:rsidR="009408D5" w:rsidRPr="00B94D92">
        <w:rPr>
          <w:rFonts w:asciiTheme="minorHAnsi" w:hAnsiTheme="minorHAnsi" w:cstheme="minorHAnsi"/>
          <w:color w:val="auto"/>
          <w:szCs w:val="22"/>
        </w:rPr>
        <w:t xml:space="preserve">conversion from LEA school </w:t>
      </w:r>
      <w:r w:rsidRPr="00B94D92">
        <w:rPr>
          <w:rFonts w:asciiTheme="minorHAnsi" w:hAnsiTheme="minorHAnsi" w:cstheme="minorHAnsi"/>
          <w:color w:val="auto"/>
          <w:szCs w:val="22"/>
        </w:rPr>
        <w:t xml:space="preserve">– share of deficit basis where the amount of assets notionally transferred to an academy is based on the ongoing funding level of active members of </w:t>
      </w:r>
      <w:r w:rsidR="00F31E36" w:rsidRPr="00045868">
        <w:rPr>
          <w:rFonts w:asciiTheme="minorHAnsi" w:hAnsiTheme="minorHAnsi" w:cstheme="minorHAnsi"/>
          <w:color w:val="auto"/>
          <w:szCs w:val="22"/>
        </w:rPr>
        <w:t xml:space="preserve">the ceding local authority </w:t>
      </w:r>
      <w:r w:rsidRPr="00045868">
        <w:rPr>
          <w:rFonts w:asciiTheme="minorHAnsi" w:hAnsiTheme="minorHAnsi" w:cstheme="minorHAnsi"/>
          <w:color w:val="auto"/>
          <w:szCs w:val="22"/>
        </w:rPr>
        <w:t xml:space="preserve">on the calculation date.  The funding level is calculated as the ratio of the remaining assets after sufficient assets have been retained to meet the deferred and pensioner liabilities of the </w:t>
      </w:r>
      <w:r w:rsidR="000B2D3C" w:rsidRPr="00045868">
        <w:rPr>
          <w:rFonts w:asciiTheme="minorHAnsi" w:hAnsiTheme="minorHAnsi" w:cstheme="minorHAnsi"/>
          <w:color w:val="auto"/>
          <w:szCs w:val="22"/>
        </w:rPr>
        <w:t>relevant ceding authority</w:t>
      </w:r>
      <w:r w:rsidRPr="00045868">
        <w:rPr>
          <w:rFonts w:asciiTheme="minorHAnsi" w:hAnsiTheme="minorHAnsi" w:cstheme="minorHAnsi"/>
          <w:color w:val="auto"/>
          <w:szCs w:val="22"/>
        </w:rPr>
        <w:t xml:space="preserve"> in full</w:t>
      </w:r>
      <w:r w:rsidR="00162B47" w:rsidRPr="00045868">
        <w:rPr>
          <w:rFonts w:asciiTheme="minorHAnsi" w:hAnsiTheme="minorHAnsi" w:cstheme="minorHAnsi"/>
          <w:color w:val="auto"/>
          <w:szCs w:val="22"/>
        </w:rPr>
        <w:t>, to the value of active members’ liabilities immediately prior to transfer</w:t>
      </w:r>
      <w:r w:rsidRPr="00045868">
        <w:rPr>
          <w:rFonts w:asciiTheme="minorHAnsi" w:hAnsiTheme="minorHAnsi" w:cstheme="minorHAnsi"/>
          <w:color w:val="auto"/>
          <w:szCs w:val="22"/>
        </w:rPr>
        <w:t>.</w:t>
      </w:r>
    </w:p>
    <w:p w14:paraId="363E817F" w14:textId="77777777" w:rsidR="002D1AFF" w:rsidRPr="00B94D92" w:rsidRDefault="0054019D" w:rsidP="00EC7ACE">
      <w:pPr>
        <w:pStyle w:val="ListParagraph"/>
        <w:numPr>
          <w:ilvl w:val="0"/>
          <w:numId w:val="7"/>
        </w:numPr>
        <w:autoSpaceDE w:val="0"/>
        <w:autoSpaceDN w:val="0"/>
        <w:adjustRightInd w:val="0"/>
        <w:rPr>
          <w:rFonts w:asciiTheme="minorHAnsi" w:hAnsiTheme="minorHAnsi" w:cstheme="minorHAnsi"/>
          <w:color w:val="auto"/>
          <w:szCs w:val="22"/>
        </w:rPr>
      </w:pPr>
      <w:r w:rsidRPr="00B94D92">
        <w:rPr>
          <w:rFonts w:asciiTheme="minorHAnsi" w:hAnsiTheme="minorHAnsi" w:cstheme="minorHAnsi"/>
          <w:color w:val="auto"/>
          <w:szCs w:val="22"/>
        </w:rPr>
        <w:t xml:space="preserve">Academy free school – normally </w:t>
      </w:r>
      <w:r w:rsidR="006837B8" w:rsidRPr="00B94D92">
        <w:rPr>
          <w:rFonts w:asciiTheme="minorHAnsi" w:hAnsiTheme="minorHAnsi" w:cstheme="minorHAnsi"/>
          <w:color w:val="auto"/>
          <w:szCs w:val="22"/>
        </w:rPr>
        <w:t xml:space="preserve">these are established </w:t>
      </w:r>
      <w:r w:rsidR="00DB4198" w:rsidRPr="00B94D92">
        <w:rPr>
          <w:rFonts w:asciiTheme="minorHAnsi" w:hAnsiTheme="minorHAnsi" w:cstheme="minorHAnsi"/>
          <w:color w:val="auto"/>
          <w:szCs w:val="22"/>
        </w:rPr>
        <w:t>with staff who have no prior LGPS service and hence will have nil assets and liabilities at the outset. If any members bring in individual transfers (whether from another Fund employer or another LGPS Fund) these will be brought in using standard GAD CETVs</w:t>
      </w:r>
      <w:r w:rsidR="00A44F9D" w:rsidRPr="00B94D92">
        <w:rPr>
          <w:rFonts w:asciiTheme="minorHAnsi" w:hAnsiTheme="minorHAnsi" w:cstheme="minorHAnsi"/>
          <w:color w:val="auto"/>
          <w:szCs w:val="22"/>
        </w:rPr>
        <w:t>.</w:t>
      </w:r>
    </w:p>
    <w:p w14:paraId="16FABF34" w14:textId="77777777" w:rsidR="00A44F9D" w:rsidRPr="00B94D92" w:rsidRDefault="00A44F9D" w:rsidP="00EC7ACE">
      <w:pPr>
        <w:pStyle w:val="ListParagraph"/>
        <w:numPr>
          <w:ilvl w:val="0"/>
          <w:numId w:val="7"/>
        </w:numPr>
        <w:autoSpaceDE w:val="0"/>
        <w:autoSpaceDN w:val="0"/>
        <w:adjustRightInd w:val="0"/>
        <w:rPr>
          <w:rFonts w:asciiTheme="minorHAnsi" w:hAnsiTheme="minorHAnsi" w:cstheme="minorHAnsi"/>
          <w:color w:val="auto"/>
          <w:szCs w:val="22"/>
        </w:rPr>
      </w:pPr>
      <w:r w:rsidRPr="00B94D92">
        <w:rPr>
          <w:rFonts w:asciiTheme="minorHAnsi" w:hAnsiTheme="minorHAnsi" w:cstheme="minorHAnsi"/>
          <w:color w:val="auto"/>
          <w:szCs w:val="22"/>
        </w:rPr>
        <w:t xml:space="preserve">Existing academy established as new employer, eg </w:t>
      </w:r>
      <w:r w:rsidR="00C20795" w:rsidRPr="00B94D92">
        <w:rPr>
          <w:rFonts w:asciiTheme="minorHAnsi" w:hAnsiTheme="minorHAnsi" w:cstheme="minorHAnsi"/>
          <w:color w:val="auto"/>
          <w:szCs w:val="22"/>
        </w:rPr>
        <w:t xml:space="preserve">on failure of previous </w:t>
      </w:r>
      <w:r w:rsidR="00D04DDD" w:rsidRPr="00B94D92">
        <w:rPr>
          <w:rFonts w:asciiTheme="minorHAnsi" w:hAnsiTheme="minorHAnsi" w:cstheme="minorHAnsi"/>
          <w:color w:val="auto"/>
          <w:szCs w:val="22"/>
        </w:rPr>
        <w:t>academy/</w:t>
      </w:r>
      <w:r w:rsidR="00C20795" w:rsidRPr="00B94D92">
        <w:rPr>
          <w:rFonts w:asciiTheme="minorHAnsi" w:hAnsiTheme="minorHAnsi" w:cstheme="minorHAnsi"/>
          <w:color w:val="auto"/>
          <w:szCs w:val="22"/>
        </w:rPr>
        <w:t xml:space="preserve">trust and being brought into a Multi Academy Trust – this will </w:t>
      </w:r>
      <w:r w:rsidR="001F53BE" w:rsidRPr="00B94D92">
        <w:rPr>
          <w:rFonts w:asciiTheme="minorHAnsi" w:hAnsiTheme="minorHAnsi" w:cstheme="minorHAnsi"/>
          <w:color w:val="auto"/>
          <w:szCs w:val="22"/>
        </w:rPr>
        <w:t xml:space="preserve">normally be on the basis of all assets and liabilities (including deferreds and pensioners) </w:t>
      </w:r>
      <w:r w:rsidR="00D04DDD" w:rsidRPr="00045868">
        <w:rPr>
          <w:rFonts w:asciiTheme="minorHAnsi" w:hAnsiTheme="minorHAnsi" w:cstheme="minorHAnsi"/>
          <w:color w:val="auto"/>
          <w:szCs w:val="22"/>
        </w:rPr>
        <w:t xml:space="preserve">being transferred </w:t>
      </w:r>
      <w:r w:rsidR="001F53BE" w:rsidRPr="00045868">
        <w:rPr>
          <w:rFonts w:asciiTheme="minorHAnsi" w:hAnsiTheme="minorHAnsi" w:cstheme="minorHAnsi"/>
          <w:color w:val="auto"/>
          <w:szCs w:val="22"/>
        </w:rPr>
        <w:t>from the existing</w:t>
      </w:r>
      <w:r w:rsidR="00AA5B43" w:rsidRPr="00045868">
        <w:rPr>
          <w:rFonts w:asciiTheme="minorHAnsi" w:hAnsiTheme="minorHAnsi" w:cstheme="minorHAnsi"/>
          <w:color w:val="auto"/>
          <w:szCs w:val="22"/>
        </w:rPr>
        <w:t xml:space="preserve"> academy.</w:t>
      </w:r>
    </w:p>
    <w:p w14:paraId="2C85EE1B" w14:textId="42F1E549" w:rsidR="00C34C4D" w:rsidRPr="00B94D92" w:rsidRDefault="00C34C4D" w:rsidP="00EC7ACE">
      <w:pPr>
        <w:pStyle w:val="ListParagraph"/>
        <w:numPr>
          <w:ilvl w:val="0"/>
          <w:numId w:val="7"/>
        </w:numPr>
        <w:autoSpaceDE w:val="0"/>
        <w:autoSpaceDN w:val="0"/>
        <w:adjustRightInd w:val="0"/>
        <w:rPr>
          <w:rFonts w:asciiTheme="minorHAnsi" w:hAnsiTheme="minorHAnsi" w:cstheme="minorHAnsi"/>
          <w:color w:val="auto"/>
          <w:szCs w:val="22"/>
        </w:rPr>
      </w:pPr>
      <w:r w:rsidRPr="00B94D92">
        <w:rPr>
          <w:rFonts w:asciiTheme="minorHAnsi" w:hAnsiTheme="minorHAnsi" w:cstheme="minorHAnsi"/>
          <w:color w:val="auto"/>
          <w:szCs w:val="22"/>
        </w:rPr>
        <w:t>Non academy scheme</w:t>
      </w:r>
      <w:r w:rsidRPr="00B94D92">
        <w:rPr>
          <w:rFonts w:asciiTheme="minorHAnsi" w:hAnsiTheme="minorHAnsi" w:cstheme="minorHAnsi"/>
          <w:iCs/>
          <w:color w:val="auto"/>
          <w:szCs w:val="22"/>
        </w:rPr>
        <w:t xml:space="preserve"> employers - </w:t>
      </w:r>
      <w:r w:rsidR="00162B47" w:rsidRPr="00B94D92">
        <w:rPr>
          <w:rFonts w:asciiTheme="minorHAnsi" w:hAnsiTheme="minorHAnsi" w:cstheme="minorHAnsi"/>
          <w:iCs/>
          <w:color w:val="auto"/>
          <w:szCs w:val="22"/>
        </w:rPr>
        <w:t>to</w:t>
      </w:r>
      <w:r w:rsidRPr="00B94D92">
        <w:rPr>
          <w:rFonts w:asciiTheme="minorHAnsi" w:hAnsiTheme="minorHAnsi" w:cstheme="minorHAnsi"/>
          <w:iCs/>
          <w:color w:val="auto"/>
          <w:szCs w:val="22"/>
        </w:rPr>
        <w:t xml:space="preserve"> be agreed in each individual case depending on the circumstances of the case, taking into consideration the views of any transferring employer </w:t>
      </w:r>
      <w:r w:rsidR="009E6D48" w:rsidRPr="00B94D92">
        <w:rPr>
          <w:rFonts w:asciiTheme="minorHAnsi" w:hAnsiTheme="minorHAnsi" w:cstheme="minorHAnsi"/>
          <w:iCs/>
          <w:color w:val="auto"/>
          <w:szCs w:val="22"/>
        </w:rPr>
        <w:t>and business agreement</w:t>
      </w:r>
      <w:r w:rsidRPr="00B94D92">
        <w:rPr>
          <w:rFonts w:asciiTheme="minorHAnsi" w:hAnsiTheme="minorHAnsi" w:cstheme="minorHAnsi"/>
          <w:iCs/>
          <w:color w:val="auto"/>
          <w:szCs w:val="22"/>
        </w:rPr>
        <w:t xml:space="preserve"> (unless a pooling arrangement is entered into as described later in this policy)</w:t>
      </w:r>
      <w:r w:rsidR="00D34F8C" w:rsidRPr="00B94D92">
        <w:rPr>
          <w:rFonts w:asciiTheme="minorHAnsi" w:hAnsiTheme="minorHAnsi" w:cstheme="minorHAnsi"/>
          <w:iCs/>
          <w:color w:val="auto"/>
          <w:szCs w:val="22"/>
        </w:rPr>
        <w:t>.</w:t>
      </w:r>
    </w:p>
    <w:p w14:paraId="54F5FFEE" w14:textId="77777777" w:rsidR="00F37FAC" w:rsidRPr="00CF7A58" w:rsidRDefault="00F37FAC" w:rsidP="00B94D92">
      <w:pPr>
        <w:pStyle w:val="ListParagraph"/>
        <w:numPr>
          <w:ilvl w:val="0"/>
          <w:numId w:val="0"/>
        </w:numPr>
        <w:autoSpaceDE w:val="0"/>
        <w:autoSpaceDN w:val="0"/>
        <w:adjustRightInd w:val="0"/>
        <w:ind w:left="1211"/>
        <w:rPr>
          <w:rFonts w:asciiTheme="minorHAnsi" w:hAnsiTheme="minorHAnsi" w:cstheme="minorHAnsi"/>
          <w:szCs w:val="22"/>
        </w:rPr>
      </w:pPr>
    </w:p>
    <w:p w14:paraId="5CCCF865" w14:textId="77777777" w:rsidR="002D1AFF" w:rsidRPr="00CF7A58" w:rsidRDefault="002D1AFF" w:rsidP="00CF7A58">
      <w:pPr>
        <w:spacing w:after="180"/>
        <w:ind w:left="1276"/>
        <w:rPr>
          <w:rFonts w:ascii="Calibri" w:hAnsi="Calibri" w:cs="Calibri"/>
          <w:iCs/>
          <w:color w:val="000000" w:themeColor="text1"/>
          <w:sz w:val="22"/>
          <w:szCs w:val="22"/>
        </w:rPr>
      </w:pPr>
      <w:r w:rsidRPr="00CF7A58">
        <w:rPr>
          <w:rFonts w:ascii="Calibri" w:hAnsi="Calibri" w:cs="Calibri"/>
          <w:iCs/>
          <w:color w:val="000000" w:themeColor="text1"/>
          <w:sz w:val="22"/>
          <w:szCs w:val="22"/>
        </w:rPr>
        <w:t xml:space="preserve">The assets will be calculated using the </w:t>
      </w:r>
      <w:r w:rsidR="00CC700A" w:rsidRPr="00CF7A58">
        <w:rPr>
          <w:rFonts w:ascii="Calibri" w:hAnsi="Calibri" w:cs="Calibri"/>
          <w:iCs/>
          <w:color w:val="000000" w:themeColor="text1"/>
          <w:sz w:val="22"/>
          <w:szCs w:val="22"/>
        </w:rPr>
        <w:t>F</w:t>
      </w:r>
      <w:r w:rsidR="003658B2" w:rsidRPr="00CF7A58">
        <w:rPr>
          <w:rFonts w:ascii="Calibri" w:hAnsi="Calibri" w:cs="Calibri"/>
          <w:iCs/>
          <w:color w:val="000000" w:themeColor="text1"/>
          <w:sz w:val="22"/>
          <w:szCs w:val="22"/>
        </w:rPr>
        <w:t>und</w:t>
      </w:r>
      <w:r w:rsidRPr="00CF7A58">
        <w:rPr>
          <w:rFonts w:ascii="Calibri" w:hAnsi="Calibri" w:cs="Calibri"/>
          <w:iCs/>
          <w:color w:val="000000" w:themeColor="text1"/>
          <w:sz w:val="22"/>
          <w:szCs w:val="22"/>
        </w:rPr>
        <w:t xml:space="preserve">’s ongoing funding basis as set out in the </w:t>
      </w:r>
      <w:r w:rsidR="00C27B42" w:rsidRPr="00CF7A58">
        <w:rPr>
          <w:rFonts w:ascii="Calibri" w:hAnsi="Calibri" w:cs="Calibri"/>
          <w:iCs/>
          <w:color w:val="000000" w:themeColor="text1"/>
          <w:sz w:val="22"/>
          <w:szCs w:val="22"/>
        </w:rPr>
        <w:t>Funding</w:t>
      </w:r>
      <w:r w:rsidRPr="00CF7A58">
        <w:rPr>
          <w:rFonts w:ascii="Calibri" w:hAnsi="Calibri" w:cs="Calibri"/>
          <w:iCs/>
          <w:color w:val="000000" w:themeColor="text1"/>
          <w:sz w:val="22"/>
          <w:szCs w:val="22"/>
        </w:rPr>
        <w:t xml:space="preserve"> Strategy Statement.  </w:t>
      </w:r>
    </w:p>
    <w:p w14:paraId="3E620F70" w14:textId="295CA99D" w:rsidR="002D1AFF" w:rsidRPr="00CF7A58" w:rsidRDefault="00BA18CD" w:rsidP="00CF7A58">
      <w:pPr>
        <w:spacing w:after="180"/>
        <w:ind w:left="1276"/>
        <w:rPr>
          <w:rFonts w:ascii="Calibri" w:hAnsi="Calibri" w:cs="Calibri"/>
          <w:iCs/>
          <w:color w:val="000000" w:themeColor="text1"/>
          <w:sz w:val="22"/>
          <w:szCs w:val="22"/>
        </w:rPr>
      </w:pPr>
      <w:r w:rsidRPr="00CF7A58">
        <w:rPr>
          <w:rFonts w:ascii="Calibri" w:hAnsi="Calibri" w:cs="Calibri"/>
          <w:iCs/>
          <w:color w:val="000000" w:themeColor="text1"/>
          <w:sz w:val="22"/>
          <w:szCs w:val="22"/>
        </w:rPr>
        <w:t xml:space="preserve">The asset share will be tracked on a monthly basis during the period of </w:t>
      </w:r>
      <w:r w:rsidR="00D829DD" w:rsidRPr="00CF7A58">
        <w:rPr>
          <w:rFonts w:ascii="Calibri" w:hAnsi="Calibri" w:cs="Calibri"/>
          <w:iCs/>
          <w:color w:val="000000" w:themeColor="text1"/>
          <w:sz w:val="22"/>
          <w:szCs w:val="22"/>
        </w:rPr>
        <w:t>participation in the Fund</w:t>
      </w:r>
      <w:r w:rsidRPr="00CF7A58">
        <w:rPr>
          <w:rFonts w:ascii="Calibri" w:hAnsi="Calibri" w:cs="Calibri"/>
          <w:iCs/>
          <w:color w:val="000000" w:themeColor="text1"/>
          <w:sz w:val="22"/>
          <w:szCs w:val="22"/>
        </w:rPr>
        <w:t xml:space="preserve">, allowing for </w:t>
      </w:r>
      <w:r w:rsidR="000D3000" w:rsidRPr="00CF7A58">
        <w:rPr>
          <w:rFonts w:ascii="Calibri" w:hAnsi="Calibri" w:cs="Calibri"/>
          <w:iCs/>
          <w:color w:val="000000" w:themeColor="text1"/>
          <w:sz w:val="22"/>
          <w:szCs w:val="22"/>
        </w:rPr>
        <w:t>cash flows</w:t>
      </w:r>
      <w:r w:rsidRPr="00CF7A58">
        <w:rPr>
          <w:rFonts w:ascii="Calibri" w:hAnsi="Calibri" w:cs="Calibri"/>
          <w:iCs/>
          <w:color w:val="000000" w:themeColor="text1"/>
          <w:sz w:val="22"/>
          <w:szCs w:val="22"/>
        </w:rPr>
        <w:t xml:space="preserve"> in/out of the </w:t>
      </w:r>
      <w:r w:rsidR="00ED2862" w:rsidRPr="00CF7A58">
        <w:rPr>
          <w:rFonts w:ascii="Calibri" w:hAnsi="Calibri" w:cs="Calibri"/>
          <w:iCs/>
          <w:color w:val="000000" w:themeColor="text1"/>
          <w:sz w:val="22"/>
          <w:szCs w:val="22"/>
        </w:rPr>
        <w:t>scheme employer</w:t>
      </w:r>
      <w:r w:rsidRPr="00CF7A58">
        <w:rPr>
          <w:rFonts w:ascii="Calibri" w:hAnsi="Calibri" w:cs="Calibri"/>
          <w:iCs/>
          <w:color w:val="000000" w:themeColor="text1"/>
          <w:sz w:val="22"/>
          <w:szCs w:val="22"/>
        </w:rPr>
        <w:t xml:space="preserve"> and the Fund’s investment returns.</w:t>
      </w:r>
    </w:p>
    <w:p w14:paraId="52F6FFDF" w14:textId="7C8D97A7" w:rsidR="00FA20B2" w:rsidRPr="00CF7A58" w:rsidRDefault="00C34C4D" w:rsidP="00CF7A58">
      <w:pPr>
        <w:pStyle w:val="Heading3Num"/>
        <w:tabs>
          <w:tab w:val="clear" w:pos="2127"/>
        </w:tabs>
        <w:ind w:left="1276" w:hanging="1276"/>
      </w:pPr>
      <w:bookmarkStart w:id="22" w:name="_Toc80875379"/>
      <w:r w:rsidRPr="00CF7A58">
        <w:t xml:space="preserve">Matched </w:t>
      </w:r>
      <w:r w:rsidR="00CA511F">
        <w:t>i</w:t>
      </w:r>
      <w:r w:rsidRPr="00CF7A58">
        <w:t xml:space="preserve">nvestment </w:t>
      </w:r>
      <w:r w:rsidR="00CA511F">
        <w:t>s</w:t>
      </w:r>
      <w:r w:rsidRPr="00CF7A58">
        <w:t>trategy</w:t>
      </w:r>
      <w:bookmarkEnd w:id="22"/>
      <w:r w:rsidRPr="00CF7A58">
        <w:t xml:space="preserve"> </w:t>
      </w:r>
    </w:p>
    <w:p w14:paraId="68C2F316" w14:textId="0CC93131" w:rsidR="00C34C4D" w:rsidRPr="00565013" w:rsidRDefault="00C34C4D" w:rsidP="00CF7A58">
      <w:pPr>
        <w:spacing w:after="180"/>
        <w:ind w:left="1276"/>
        <w:rPr>
          <w:rFonts w:asciiTheme="minorHAnsi" w:hAnsiTheme="minorHAnsi" w:cstheme="minorHAnsi"/>
          <w:iCs/>
          <w:color w:val="000000" w:themeColor="text1"/>
          <w:sz w:val="22"/>
          <w:szCs w:val="22"/>
        </w:rPr>
      </w:pPr>
      <w:r w:rsidRPr="00565013">
        <w:rPr>
          <w:rFonts w:asciiTheme="minorHAnsi" w:hAnsiTheme="minorHAnsi" w:cstheme="minorHAnsi"/>
          <w:iCs/>
          <w:color w:val="000000" w:themeColor="text1"/>
          <w:sz w:val="22"/>
          <w:szCs w:val="22"/>
        </w:rPr>
        <w:t xml:space="preserve">The investment strategy is set for the </w:t>
      </w:r>
      <w:r w:rsidR="00CC700A" w:rsidRPr="00565013">
        <w:rPr>
          <w:rFonts w:asciiTheme="minorHAnsi" w:hAnsiTheme="minorHAnsi" w:cstheme="minorHAnsi"/>
          <w:iCs/>
          <w:color w:val="000000" w:themeColor="text1"/>
          <w:sz w:val="22"/>
          <w:szCs w:val="22"/>
        </w:rPr>
        <w:t>F</w:t>
      </w:r>
      <w:r w:rsidR="003658B2" w:rsidRPr="00565013">
        <w:rPr>
          <w:rFonts w:asciiTheme="minorHAnsi" w:hAnsiTheme="minorHAnsi" w:cstheme="minorHAnsi"/>
          <w:iCs/>
          <w:color w:val="000000" w:themeColor="text1"/>
          <w:sz w:val="22"/>
          <w:szCs w:val="22"/>
        </w:rPr>
        <w:t>und</w:t>
      </w:r>
      <w:r w:rsidRPr="00565013">
        <w:rPr>
          <w:rFonts w:asciiTheme="minorHAnsi" w:hAnsiTheme="minorHAnsi" w:cstheme="minorHAnsi"/>
          <w:iCs/>
          <w:color w:val="000000" w:themeColor="text1"/>
          <w:sz w:val="22"/>
          <w:szCs w:val="22"/>
        </w:rPr>
        <w:t xml:space="preserve"> as a whole, not for each employer’s notional share of the </w:t>
      </w:r>
      <w:r w:rsidR="00CC700A" w:rsidRPr="00565013">
        <w:rPr>
          <w:rFonts w:asciiTheme="minorHAnsi" w:hAnsiTheme="minorHAnsi" w:cstheme="minorHAnsi"/>
          <w:iCs/>
          <w:color w:val="000000" w:themeColor="text1"/>
          <w:sz w:val="22"/>
          <w:szCs w:val="22"/>
        </w:rPr>
        <w:t>F</w:t>
      </w:r>
      <w:r w:rsidR="003658B2" w:rsidRPr="00565013">
        <w:rPr>
          <w:rFonts w:asciiTheme="minorHAnsi" w:hAnsiTheme="minorHAnsi" w:cstheme="minorHAnsi"/>
          <w:iCs/>
          <w:color w:val="000000" w:themeColor="text1"/>
          <w:sz w:val="22"/>
          <w:szCs w:val="22"/>
        </w:rPr>
        <w:t>und</w:t>
      </w:r>
      <w:r w:rsidRPr="00565013">
        <w:rPr>
          <w:rFonts w:asciiTheme="minorHAnsi" w:hAnsiTheme="minorHAnsi" w:cstheme="minorHAnsi"/>
          <w:iCs/>
          <w:color w:val="000000" w:themeColor="text1"/>
          <w:sz w:val="22"/>
          <w:szCs w:val="22"/>
        </w:rPr>
        <w:t xml:space="preserve">. </w:t>
      </w:r>
    </w:p>
    <w:p w14:paraId="19F49479" w14:textId="77777777" w:rsidR="00162B47" w:rsidRPr="00565013" w:rsidRDefault="00162B47" w:rsidP="00CF7A58">
      <w:pPr>
        <w:spacing w:after="180"/>
        <w:ind w:left="1276"/>
        <w:rPr>
          <w:rFonts w:asciiTheme="minorHAnsi" w:hAnsiTheme="minorHAnsi" w:cstheme="minorHAnsi"/>
          <w:iCs/>
          <w:color w:val="000000" w:themeColor="text1"/>
          <w:sz w:val="22"/>
          <w:szCs w:val="22"/>
        </w:rPr>
      </w:pPr>
      <w:r w:rsidRPr="00565013">
        <w:rPr>
          <w:rFonts w:asciiTheme="minorHAnsi" w:hAnsiTheme="minorHAnsi" w:cstheme="minorHAnsi"/>
          <w:iCs/>
          <w:color w:val="000000" w:themeColor="text1"/>
          <w:sz w:val="22"/>
          <w:szCs w:val="22"/>
        </w:rPr>
        <w:t xml:space="preserve">Any alternative approach proposed is subject to agreement by the </w:t>
      </w:r>
      <w:r w:rsidR="00CC700A" w:rsidRPr="00565013">
        <w:rPr>
          <w:rFonts w:asciiTheme="minorHAnsi" w:hAnsiTheme="minorHAnsi" w:cstheme="minorHAnsi"/>
          <w:iCs/>
          <w:color w:val="000000" w:themeColor="text1"/>
          <w:sz w:val="22"/>
          <w:szCs w:val="22"/>
        </w:rPr>
        <w:t>F</w:t>
      </w:r>
      <w:r w:rsidR="003658B2" w:rsidRPr="00565013">
        <w:rPr>
          <w:rFonts w:asciiTheme="minorHAnsi" w:hAnsiTheme="minorHAnsi" w:cstheme="minorHAnsi"/>
          <w:iCs/>
          <w:color w:val="000000" w:themeColor="text1"/>
          <w:sz w:val="22"/>
          <w:szCs w:val="22"/>
        </w:rPr>
        <w:t>und</w:t>
      </w:r>
      <w:r w:rsidRPr="00565013">
        <w:rPr>
          <w:rFonts w:asciiTheme="minorHAnsi" w:hAnsiTheme="minorHAnsi" w:cstheme="minorHAnsi"/>
          <w:iCs/>
          <w:color w:val="000000" w:themeColor="text1"/>
          <w:sz w:val="22"/>
          <w:szCs w:val="22"/>
        </w:rPr>
        <w:t>.</w:t>
      </w:r>
    </w:p>
    <w:p w14:paraId="56F094A3" w14:textId="77777777" w:rsidR="009C424F" w:rsidRPr="0023289F" w:rsidRDefault="009C424F" w:rsidP="00CF7A58">
      <w:pPr>
        <w:pStyle w:val="Heading3Num"/>
        <w:tabs>
          <w:tab w:val="clear" w:pos="2127"/>
        </w:tabs>
        <w:ind w:left="1276" w:hanging="1276"/>
      </w:pPr>
      <w:bookmarkStart w:id="23" w:name="_Toc80875380"/>
      <w:r w:rsidRPr="0023289F">
        <w:t xml:space="preserve">Contribution </w:t>
      </w:r>
      <w:r w:rsidRPr="00CF7A58">
        <w:t>rates</w:t>
      </w:r>
      <w:r w:rsidRPr="0023289F">
        <w:t xml:space="preserve"> and other costs</w:t>
      </w:r>
      <w:bookmarkEnd w:id="23"/>
      <w:r w:rsidRPr="0023289F">
        <w:t xml:space="preserve"> </w:t>
      </w:r>
    </w:p>
    <w:p w14:paraId="66831145" w14:textId="52500044" w:rsidR="009C424F" w:rsidRPr="00CF7A58" w:rsidRDefault="009C424F" w:rsidP="00CF7A58">
      <w:pPr>
        <w:spacing w:after="180"/>
        <w:ind w:left="1276"/>
        <w:rPr>
          <w:rFonts w:asciiTheme="minorHAnsi" w:hAnsiTheme="minorHAnsi" w:cstheme="minorHAnsi"/>
          <w:iCs/>
          <w:color w:val="000000" w:themeColor="text1"/>
          <w:sz w:val="22"/>
          <w:szCs w:val="22"/>
        </w:rPr>
      </w:pPr>
      <w:r w:rsidRPr="00CF7A58">
        <w:rPr>
          <w:rFonts w:asciiTheme="minorHAnsi" w:hAnsiTheme="minorHAnsi" w:cstheme="minorHAnsi"/>
          <w:iCs/>
          <w:color w:val="000000" w:themeColor="text1"/>
          <w:sz w:val="22"/>
          <w:szCs w:val="22"/>
        </w:rPr>
        <w:t xml:space="preserve">The employer contribution rate will be set in accordance with the </w:t>
      </w:r>
      <w:r w:rsidR="001C0E47" w:rsidRPr="00CF7A58">
        <w:rPr>
          <w:rFonts w:asciiTheme="minorHAnsi" w:hAnsiTheme="minorHAnsi" w:cstheme="minorHAnsi"/>
          <w:iCs/>
          <w:color w:val="000000" w:themeColor="text1"/>
          <w:sz w:val="22"/>
          <w:szCs w:val="22"/>
        </w:rPr>
        <w:t>F</w:t>
      </w:r>
      <w:r w:rsidRPr="00CF7A58">
        <w:rPr>
          <w:rFonts w:asciiTheme="minorHAnsi" w:hAnsiTheme="minorHAnsi" w:cstheme="minorHAnsi"/>
          <w:iCs/>
          <w:color w:val="000000" w:themeColor="text1"/>
          <w:sz w:val="22"/>
          <w:szCs w:val="22"/>
        </w:rPr>
        <w:t xml:space="preserve">unding </w:t>
      </w:r>
      <w:r w:rsidR="001C0E47" w:rsidRPr="00CF7A58">
        <w:rPr>
          <w:rFonts w:asciiTheme="minorHAnsi" w:hAnsiTheme="minorHAnsi" w:cstheme="minorHAnsi"/>
          <w:iCs/>
          <w:color w:val="000000" w:themeColor="text1"/>
          <w:sz w:val="22"/>
          <w:szCs w:val="22"/>
        </w:rPr>
        <w:t>S</w:t>
      </w:r>
      <w:r w:rsidRPr="00CF7A58">
        <w:rPr>
          <w:rFonts w:asciiTheme="minorHAnsi" w:hAnsiTheme="minorHAnsi" w:cstheme="minorHAnsi"/>
          <w:iCs/>
          <w:color w:val="000000" w:themeColor="text1"/>
          <w:sz w:val="22"/>
          <w:szCs w:val="22"/>
        </w:rPr>
        <w:t xml:space="preserve">trategy </w:t>
      </w:r>
      <w:r w:rsidR="001C0E47" w:rsidRPr="00CF7A58">
        <w:rPr>
          <w:rFonts w:asciiTheme="minorHAnsi" w:hAnsiTheme="minorHAnsi" w:cstheme="minorHAnsi"/>
          <w:iCs/>
          <w:color w:val="000000" w:themeColor="text1"/>
          <w:sz w:val="22"/>
          <w:szCs w:val="22"/>
        </w:rPr>
        <w:t>S</w:t>
      </w:r>
      <w:r w:rsidRPr="00CF7A58">
        <w:rPr>
          <w:rFonts w:asciiTheme="minorHAnsi" w:hAnsiTheme="minorHAnsi" w:cstheme="minorHAnsi"/>
          <w:iCs/>
          <w:color w:val="000000" w:themeColor="text1"/>
          <w:sz w:val="22"/>
          <w:szCs w:val="22"/>
        </w:rPr>
        <w:t xml:space="preserve">tatement, </w:t>
      </w:r>
      <w:r w:rsidR="00CF0CE3" w:rsidRPr="00CF7A58">
        <w:rPr>
          <w:rFonts w:asciiTheme="minorHAnsi" w:hAnsiTheme="minorHAnsi" w:cstheme="minorHAnsi"/>
          <w:iCs/>
          <w:color w:val="000000" w:themeColor="text1"/>
          <w:sz w:val="22"/>
          <w:szCs w:val="22"/>
        </w:rPr>
        <w:t xml:space="preserve">using a risk-based approach, </w:t>
      </w:r>
      <w:r w:rsidRPr="00CF7A58">
        <w:rPr>
          <w:rFonts w:asciiTheme="minorHAnsi" w:hAnsiTheme="minorHAnsi" w:cstheme="minorHAnsi"/>
          <w:iCs/>
          <w:color w:val="000000" w:themeColor="text1"/>
          <w:sz w:val="22"/>
          <w:szCs w:val="22"/>
        </w:rPr>
        <w:t>taking into consideration elements such as:</w:t>
      </w:r>
    </w:p>
    <w:p w14:paraId="4D3A7F06" w14:textId="26E7A74E" w:rsidR="009C424F" w:rsidRPr="00045868" w:rsidRDefault="000216C7" w:rsidP="00EC7ACE">
      <w:pPr>
        <w:pStyle w:val="ListParagraph"/>
        <w:numPr>
          <w:ilvl w:val="0"/>
          <w:numId w:val="7"/>
        </w:numPr>
        <w:autoSpaceDE w:val="0"/>
        <w:autoSpaceDN w:val="0"/>
        <w:adjustRightInd w:val="0"/>
        <w:rPr>
          <w:rFonts w:asciiTheme="minorHAnsi" w:hAnsiTheme="minorHAnsi" w:cstheme="minorHAnsi"/>
          <w:color w:val="auto"/>
          <w:szCs w:val="22"/>
        </w:rPr>
      </w:pPr>
      <w:r w:rsidRPr="00045868">
        <w:rPr>
          <w:rFonts w:asciiTheme="minorHAnsi" w:hAnsiTheme="minorHAnsi" w:cstheme="minorHAnsi"/>
          <w:color w:val="auto"/>
          <w:szCs w:val="22"/>
        </w:rPr>
        <w:t>The employer’s funding target</w:t>
      </w:r>
      <w:r w:rsidR="00CF7A58" w:rsidRPr="00045868">
        <w:rPr>
          <w:rFonts w:asciiTheme="minorHAnsi" w:hAnsiTheme="minorHAnsi" w:cstheme="minorHAnsi"/>
          <w:color w:val="auto"/>
          <w:szCs w:val="22"/>
        </w:rPr>
        <w:t>.</w:t>
      </w:r>
    </w:p>
    <w:p w14:paraId="5827E5CA" w14:textId="77820FCC" w:rsidR="000216C7" w:rsidRPr="00045868" w:rsidRDefault="000216C7" w:rsidP="00EC7ACE">
      <w:pPr>
        <w:pStyle w:val="ListParagraph"/>
        <w:numPr>
          <w:ilvl w:val="0"/>
          <w:numId w:val="7"/>
        </w:numPr>
        <w:autoSpaceDE w:val="0"/>
        <w:autoSpaceDN w:val="0"/>
        <w:adjustRightInd w:val="0"/>
        <w:rPr>
          <w:rFonts w:asciiTheme="minorHAnsi" w:hAnsiTheme="minorHAnsi" w:cstheme="minorHAnsi"/>
          <w:color w:val="auto"/>
          <w:szCs w:val="22"/>
        </w:rPr>
      </w:pPr>
      <w:r w:rsidRPr="00045868">
        <w:rPr>
          <w:rFonts w:asciiTheme="minorHAnsi" w:hAnsiTheme="minorHAnsi" w:cstheme="minorHAnsi"/>
          <w:color w:val="auto"/>
          <w:szCs w:val="22"/>
        </w:rPr>
        <w:t xml:space="preserve">The </w:t>
      </w:r>
      <w:r w:rsidR="00CF0CE3" w:rsidRPr="00045868">
        <w:rPr>
          <w:rFonts w:asciiTheme="minorHAnsi" w:hAnsiTheme="minorHAnsi" w:cstheme="minorHAnsi"/>
          <w:color w:val="auto"/>
          <w:szCs w:val="22"/>
        </w:rPr>
        <w:t xml:space="preserve">desired </w:t>
      </w:r>
      <w:r w:rsidRPr="00045868">
        <w:rPr>
          <w:rFonts w:asciiTheme="minorHAnsi" w:hAnsiTheme="minorHAnsi" w:cstheme="minorHAnsi"/>
          <w:color w:val="auto"/>
          <w:szCs w:val="22"/>
        </w:rPr>
        <w:t>likelihood of achieving the funding target</w:t>
      </w:r>
      <w:r w:rsidR="00CF7A58" w:rsidRPr="00045868">
        <w:rPr>
          <w:rFonts w:asciiTheme="minorHAnsi" w:hAnsiTheme="minorHAnsi" w:cstheme="minorHAnsi"/>
          <w:color w:val="auto"/>
          <w:szCs w:val="22"/>
        </w:rPr>
        <w:t>.</w:t>
      </w:r>
    </w:p>
    <w:p w14:paraId="0DA763B5" w14:textId="674E9960" w:rsidR="009C424F" w:rsidRPr="00045868" w:rsidRDefault="000216C7" w:rsidP="00EC7ACE">
      <w:pPr>
        <w:pStyle w:val="ListParagraph"/>
        <w:numPr>
          <w:ilvl w:val="0"/>
          <w:numId w:val="7"/>
        </w:numPr>
        <w:autoSpaceDE w:val="0"/>
        <w:autoSpaceDN w:val="0"/>
        <w:adjustRightInd w:val="0"/>
        <w:rPr>
          <w:rFonts w:asciiTheme="minorHAnsi" w:hAnsiTheme="minorHAnsi" w:cstheme="minorHAnsi"/>
          <w:color w:val="auto"/>
          <w:szCs w:val="22"/>
        </w:rPr>
      </w:pPr>
      <w:r w:rsidRPr="00045868">
        <w:rPr>
          <w:rFonts w:asciiTheme="minorHAnsi" w:hAnsiTheme="minorHAnsi" w:cstheme="minorHAnsi"/>
          <w:color w:val="auto"/>
          <w:szCs w:val="22"/>
        </w:rPr>
        <w:t>The time period over which the funding target is to be met</w:t>
      </w:r>
      <w:r w:rsidR="009C424F" w:rsidRPr="00045868">
        <w:rPr>
          <w:rFonts w:asciiTheme="minorHAnsi" w:hAnsiTheme="minorHAnsi" w:cstheme="minorHAnsi"/>
          <w:color w:val="auto"/>
          <w:szCs w:val="22"/>
        </w:rPr>
        <w:t>.</w:t>
      </w:r>
    </w:p>
    <w:p w14:paraId="3BCAE59B" w14:textId="13A523E2" w:rsidR="0023289F" w:rsidRPr="00045868" w:rsidRDefault="009C424F" w:rsidP="00EC7ACE">
      <w:pPr>
        <w:pStyle w:val="ListParagraph"/>
        <w:numPr>
          <w:ilvl w:val="0"/>
          <w:numId w:val="7"/>
        </w:numPr>
        <w:spacing w:after="180"/>
        <w:rPr>
          <w:rFonts w:asciiTheme="minorHAnsi" w:hAnsiTheme="minorHAnsi" w:cstheme="minorHAnsi"/>
          <w:iCs/>
          <w:color w:val="auto"/>
          <w:szCs w:val="22"/>
        </w:rPr>
      </w:pPr>
      <w:r w:rsidRPr="00045868">
        <w:rPr>
          <w:rFonts w:asciiTheme="minorHAnsi" w:hAnsiTheme="minorHAnsi" w:cstheme="minorHAnsi"/>
          <w:color w:val="auto"/>
          <w:szCs w:val="22"/>
        </w:rPr>
        <w:t xml:space="preserve">In the case of an employer permitted to designate which of its employees may join the Scheme, whether such a designation applies to all </w:t>
      </w:r>
      <w:r w:rsidRPr="00045868">
        <w:rPr>
          <w:rFonts w:asciiTheme="minorHAnsi" w:hAnsiTheme="minorHAnsi" w:cstheme="minorHAnsi"/>
          <w:iCs/>
          <w:color w:val="auto"/>
          <w:szCs w:val="22"/>
        </w:rPr>
        <w:t>employees or is restricted.</w:t>
      </w:r>
    </w:p>
    <w:p w14:paraId="71D74153" w14:textId="40E3F9F1" w:rsidR="009C424F" w:rsidRPr="00CF7A58" w:rsidRDefault="009C424F" w:rsidP="00CF7A58">
      <w:pPr>
        <w:spacing w:after="180"/>
        <w:ind w:left="1276"/>
        <w:rPr>
          <w:rFonts w:asciiTheme="minorHAnsi" w:hAnsiTheme="minorHAnsi" w:cstheme="minorHAnsi"/>
          <w:iCs/>
          <w:color w:val="000000" w:themeColor="text1"/>
          <w:sz w:val="22"/>
          <w:szCs w:val="22"/>
        </w:rPr>
      </w:pPr>
      <w:r w:rsidRPr="00CF7A58">
        <w:rPr>
          <w:rFonts w:asciiTheme="minorHAnsi" w:hAnsiTheme="minorHAnsi" w:cstheme="minorHAnsi"/>
          <w:iCs/>
          <w:color w:val="000000" w:themeColor="text1"/>
          <w:sz w:val="22"/>
          <w:szCs w:val="22"/>
        </w:rPr>
        <w:t>The approach taken is to calculate an individual contribution rate</w:t>
      </w:r>
      <w:r w:rsidR="000216C7" w:rsidRPr="00CF7A58">
        <w:rPr>
          <w:rFonts w:asciiTheme="minorHAnsi" w:hAnsiTheme="minorHAnsi" w:cstheme="minorHAnsi"/>
          <w:iCs/>
          <w:color w:val="000000" w:themeColor="text1"/>
          <w:sz w:val="22"/>
          <w:szCs w:val="22"/>
        </w:rPr>
        <w:t xml:space="preserve"> such that, when combined with the employer’s asset share and anticipated market movements over the time horizon, the funding target is met with a given </w:t>
      </w:r>
      <w:r w:rsidR="00225CCD" w:rsidRPr="00CF7A58">
        <w:rPr>
          <w:rFonts w:asciiTheme="minorHAnsi" w:hAnsiTheme="minorHAnsi" w:cstheme="minorHAnsi"/>
          <w:iCs/>
          <w:color w:val="000000" w:themeColor="text1"/>
          <w:sz w:val="22"/>
          <w:szCs w:val="22"/>
        </w:rPr>
        <w:t>desired</w:t>
      </w:r>
      <w:r w:rsidR="000216C7" w:rsidRPr="00CF7A58">
        <w:rPr>
          <w:rFonts w:asciiTheme="minorHAnsi" w:hAnsiTheme="minorHAnsi" w:cstheme="minorHAnsi"/>
          <w:iCs/>
          <w:color w:val="000000" w:themeColor="text1"/>
          <w:sz w:val="22"/>
          <w:szCs w:val="22"/>
        </w:rPr>
        <w:t xml:space="preserve"> likelihood. Further information is available within the Funding Strategy Statement.</w:t>
      </w:r>
      <w:r w:rsidRPr="00CF7A58">
        <w:rPr>
          <w:rFonts w:asciiTheme="minorHAnsi" w:hAnsiTheme="minorHAnsi" w:cstheme="minorHAnsi"/>
          <w:iCs/>
          <w:color w:val="000000" w:themeColor="text1"/>
          <w:sz w:val="22"/>
          <w:szCs w:val="22"/>
        </w:rPr>
        <w:t xml:space="preserve"> </w:t>
      </w:r>
      <w:r w:rsidR="00F043DD" w:rsidRPr="00CF7A58">
        <w:rPr>
          <w:rFonts w:asciiTheme="minorHAnsi" w:hAnsiTheme="minorHAnsi" w:cstheme="minorHAnsi"/>
          <w:iCs/>
          <w:color w:val="000000" w:themeColor="text1"/>
          <w:sz w:val="22"/>
          <w:szCs w:val="22"/>
        </w:rPr>
        <w:t xml:space="preserve">The employer contribution is split into two parts – Primary and Secondary – and employers must pay both parts. </w:t>
      </w:r>
    </w:p>
    <w:p w14:paraId="69F1FB12" w14:textId="2C6F5BC2" w:rsidR="009C424F" w:rsidRPr="00CF7A58" w:rsidRDefault="009C424F" w:rsidP="00CF7A58">
      <w:pPr>
        <w:spacing w:after="180"/>
        <w:ind w:left="1276"/>
        <w:rPr>
          <w:rFonts w:asciiTheme="minorHAnsi" w:hAnsiTheme="minorHAnsi" w:cstheme="minorHAnsi"/>
          <w:iCs/>
          <w:color w:val="000000" w:themeColor="text1"/>
          <w:sz w:val="22"/>
          <w:szCs w:val="22"/>
        </w:rPr>
      </w:pPr>
      <w:r w:rsidRPr="00CF7A58">
        <w:rPr>
          <w:rFonts w:asciiTheme="minorHAnsi" w:hAnsiTheme="minorHAnsi" w:cstheme="minorHAnsi"/>
          <w:iCs/>
          <w:color w:val="000000" w:themeColor="text1"/>
          <w:sz w:val="22"/>
          <w:szCs w:val="22"/>
        </w:rPr>
        <w:t>However, academies may</w:t>
      </w:r>
      <w:r w:rsidR="000216C7" w:rsidRPr="00CF7A58">
        <w:rPr>
          <w:rFonts w:asciiTheme="minorHAnsi" w:hAnsiTheme="minorHAnsi" w:cstheme="minorHAnsi"/>
          <w:iCs/>
          <w:color w:val="000000" w:themeColor="text1"/>
          <w:sz w:val="22"/>
          <w:szCs w:val="22"/>
        </w:rPr>
        <w:t xml:space="preserve"> opt to pay an employer contribution rate in line with the stabilisation mechanism offered by the Fund. The mechanism keeps year to year contribution rate variations within a pre-determined range, allowing academy employers to benefit from paying stable employer contribution rates.</w:t>
      </w:r>
    </w:p>
    <w:p w14:paraId="0339CD5D" w14:textId="77777777" w:rsidR="009C424F" w:rsidRPr="00CF7A58" w:rsidRDefault="009C424F" w:rsidP="00CF7A58">
      <w:pPr>
        <w:spacing w:after="180"/>
        <w:ind w:left="1276"/>
        <w:rPr>
          <w:rFonts w:asciiTheme="minorHAnsi" w:hAnsiTheme="minorHAnsi" w:cstheme="minorHAnsi"/>
          <w:iCs/>
          <w:color w:val="000000" w:themeColor="text1"/>
          <w:sz w:val="22"/>
          <w:szCs w:val="22"/>
        </w:rPr>
      </w:pPr>
      <w:r w:rsidRPr="00CF7A58">
        <w:rPr>
          <w:rFonts w:asciiTheme="minorHAnsi" w:hAnsiTheme="minorHAnsi" w:cstheme="minorHAnsi"/>
          <w:iCs/>
          <w:color w:val="000000" w:themeColor="text1"/>
          <w:sz w:val="22"/>
          <w:szCs w:val="22"/>
        </w:rPr>
        <w:t>In addition</w:t>
      </w:r>
      <w:r w:rsidR="00973F90" w:rsidRPr="00CF7A58">
        <w:rPr>
          <w:rFonts w:asciiTheme="minorHAnsi" w:hAnsiTheme="minorHAnsi" w:cstheme="minorHAnsi"/>
          <w:iCs/>
          <w:color w:val="000000" w:themeColor="text1"/>
          <w:sz w:val="22"/>
          <w:szCs w:val="22"/>
        </w:rPr>
        <w:t>,</w:t>
      </w:r>
      <w:r w:rsidRPr="00CF7A58">
        <w:rPr>
          <w:rFonts w:asciiTheme="minorHAnsi" w:hAnsiTheme="minorHAnsi" w:cstheme="minorHAnsi"/>
          <w:iCs/>
          <w:color w:val="000000" w:themeColor="text1"/>
          <w:sz w:val="22"/>
          <w:szCs w:val="22"/>
        </w:rPr>
        <w:t xml:space="preserve"> a Scheme employer will be required to pay additional payments including, but not limited to:</w:t>
      </w:r>
    </w:p>
    <w:p w14:paraId="5B882ADF" w14:textId="77777777" w:rsidR="009C424F" w:rsidRPr="002662E6" w:rsidRDefault="009C424F"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lump sums in relation to any early retirements or early payment of pension benefits; lump sums in relation to any award of additional benefits;</w:t>
      </w:r>
      <w:r w:rsidR="008A2FF5" w:rsidRPr="002662E6">
        <w:rPr>
          <w:rFonts w:asciiTheme="minorHAnsi" w:hAnsiTheme="minorHAnsi" w:cstheme="minorHAnsi"/>
          <w:color w:val="auto"/>
          <w:szCs w:val="22"/>
        </w:rPr>
        <w:t xml:space="preserve"> and</w:t>
      </w:r>
    </w:p>
    <w:p w14:paraId="243EBC94" w14:textId="1EEE5D18" w:rsidR="00370B82" w:rsidRPr="00045868" w:rsidRDefault="009C424F" w:rsidP="00EC7ACE">
      <w:pPr>
        <w:pStyle w:val="ListParagraph"/>
        <w:numPr>
          <w:ilvl w:val="0"/>
          <w:numId w:val="7"/>
        </w:numPr>
        <w:spacing w:after="180"/>
        <w:rPr>
          <w:rFonts w:ascii="Calibri" w:hAnsi="Calibri" w:cs="Calibri"/>
          <w:iCs/>
          <w:color w:val="000000" w:themeColor="text1"/>
          <w:szCs w:val="22"/>
        </w:rPr>
      </w:pPr>
      <w:r w:rsidRPr="00045868">
        <w:rPr>
          <w:rFonts w:asciiTheme="minorHAnsi" w:hAnsiTheme="minorHAnsi" w:cstheme="minorHAnsi"/>
          <w:color w:val="auto"/>
          <w:szCs w:val="22"/>
        </w:rPr>
        <w:t>reimbursement</w:t>
      </w:r>
      <w:r w:rsidRPr="00045868">
        <w:rPr>
          <w:rFonts w:asciiTheme="minorHAnsi" w:hAnsiTheme="minorHAnsi" w:cstheme="minorHAnsi"/>
          <w:iCs/>
          <w:color w:val="auto"/>
          <w:szCs w:val="22"/>
        </w:rPr>
        <w:t xml:space="preserve"> of the administering authorities or other bodies costs</w:t>
      </w:r>
      <w:r w:rsidR="004774BC" w:rsidRPr="00045868">
        <w:rPr>
          <w:rFonts w:asciiTheme="minorHAnsi" w:hAnsiTheme="minorHAnsi" w:cstheme="minorHAnsi"/>
          <w:iCs/>
          <w:color w:val="auto"/>
          <w:szCs w:val="22"/>
        </w:rPr>
        <w:t xml:space="preserve"> incurred as a result of activity directly related to or requested by the admission body or</w:t>
      </w:r>
      <w:r w:rsidRPr="00045868">
        <w:rPr>
          <w:rFonts w:asciiTheme="minorHAnsi" w:hAnsiTheme="minorHAnsi" w:cstheme="minorHAnsi"/>
          <w:iCs/>
          <w:color w:val="auto"/>
          <w:szCs w:val="22"/>
        </w:rPr>
        <w:t xml:space="preserve"> due to poor </w:t>
      </w:r>
      <w:r w:rsidRPr="00045868">
        <w:rPr>
          <w:rFonts w:ascii="Calibri" w:hAnsi="Calibri" w:cs="Calibri"/>
          <w:iCs/>
          <w:color w:val="000000" w:themeColor="text1"/>
          <w:szCs w:val="22"/>
        </w:rPr>
        <w:t xml:space="preserve">administration by the employer. </w:t>
      </w:r>
    </w:p>
    <w:p w14:paraId="15D53244" w14:textId="56507D22" w:rsidR="009C424F" w:rsidRPr="00CF7A58" w:rsidRDefault="009C424F" w:rsidP="00CF7A58">
      <w:pPr>
        <w:spacing w:after="180"/>
        <w:ind w:left="1276"/>
        <w:rPr>
          <w:rFonts w:ascii="Calibri" w:hAnsi="Calibri" w:cs="Calibri"/>
          <w:iCs/>
          <w:color w:val="000000" w:themeColor="text1"/>
          <w:sz w:val="22"/>
          <w:szCs w:val="22"/>
        </w:rPr>
      </w:pPr>
      <w:r w:rsidRPr="00CF7A58">
        <w:rPr>
          <w:rFonts w:ascii="Calibri" w:hAnsi="Calibri" w:cs="Calibri"/>
          <w:iCs/>
          <w:color w:val="000000" w:themeColor="text1"/>
          <w:sz w:val="22"/>
          <w:szCs w:val="22"/>
        </w:rPr>
        <w:t xml:space="preserve">All lump sums in relation to </w:t>
      </w:r>
      <w:r w:rsidR="00026509" w:rsidRPr="00CF7A58">
        <w:rPr>
          <w:rFonts w:ascii="Calibri" w:hAnsi="Calibri" w:cs="Calibri"/>
          <w:iCs/>
          <w:color w:val="000000" w:themeColor="text1"/>
          <w:sz w:val="22"/>
          <w:szCs w:val="22"/>
        </w:rPr>
        <w:t xml:space="preserve">non-ill health </w:t>
      </w:r>
      <w:r w:rsidRPr="00CF7A58">
        <w:rPr>
          <w:rFonts w:ascii="Calibri" w:hAnsi="Calibri" w:cs="Calibri"/>
          <w:iCs/>
          <w:color w:val="000000" w:themeColor="text1"/>
          <w:sz w:val="22"/>
          <w:szCs w:val="22"/>
        </w:rPr>
        <w:t xml:space="preserve">early retirement will be paid immediately by the </w:t>
      </w:r>
      <w:r w:rsidR="009E3676" w:rsidRPr="00CF7A58">
        <w:rPr>
          <w:rFonts w:ascii="Calibri" w:hAnsi="Calibri" w:cs="Calibri"/>
          <w:iCs/>
          <w:color w:val="000000" w:themeColor="text1"/>
          <w:sz w:val="22"/>
          <w:szCs w:val="22"/>
        </w:rPr>
        <w:t>Scheme employer</w:t>
      </w:r>
      <w:r w:rsidRPr="00CF7A58">
        <w:rPr>
          <w:rFonts w:ascii="Calibri" w:hAnsi="Calibri" w:cs="Calibri"/>
          <w:iCs/>
          <w:color w:val="000000" w:themeColor="text1"/>
          <w:sz w:val="22"/>
          <w:szCs w:val="22"/>
        </w:rPr>
        <w:t xml:space="preserve"> unless the Head of Pensions and Section 151 Officer for </w:t>
      </w:r>
      <w:r w:rsidR="00401F75">
        <w:rPr>
          <w:rFonts w:ascii="Calibri" w:hAnsi="Calibri" w:cs="Calibri"/>
          <w:iCs/>
          <w:color w:val="000000" w:themeColor="text1"/>
          <w:sz w:val="22"/>
          <w:szCs w:val="22"/>
        </w:rPr>
        <w:t>Cambridgeshire County</w:t>
      </w:r>
      <w:r w:rsidRPr="00CF7A58">
        <w:rPr>
          <w:rFonts w:ascii="Calibri" w:hAnsi="Calibri" w:cs="Calibri"/>
          <w:iCs/>
          <w:color w:val="000000" w:themeColor="text1"/>
          <w:sz w:val="22"/>
          <w:szCs w:val="22"/>
        </w:rPr>
        <w:t xml:space="preserve"> Council jointly agree the payment may be extended over a maximum period of 3 years.</w:t>
      </w:r>
    </w:p>
    <w:p w14:paraId="2EF60C88" w14:textId="742C1236" w:rsidR="003E6084" w:rsidRPr="00CF7A58" w:rsidRDefault="003E6084" w:rsidP="00CF7A58">
      <w:pPr>
        <w:spacing w:after="180"/>
        <w:ind w:left="1276"/>
        <w:rPr>
          <w:rFonts w:ascii="Calibri" w:hAnsi="Calibri" w:cs="Calibri"/>
          <w:color w:val="000000"/>
          <w:sz w:val="22"/>
          <w:szCs w:val="22"/>
        </w:rPr>
      </w:pPr>
      <w:r w:rsidRPr="00CF7A58">
        <w:rPr>
          <w:rFonts w:ascii="Calibri" w:hAnsi="Calibri" w:cs="Calibri"/>
          <w:color w:val="000000"/>
          <w:sz w:val="22"/>
          <w:szCs w:val="22"/>
        </w:rPr>
        <w:t xml:space="preserve">The </w:t>
      </w:r>
      <w:r w:rsidR="00C94DE4" w:rsidRPr="00CF7A58">
        <w:rPr>
          <w:rFonts w:ascii="Calibri" w:hAnsi="Calibri" w:cs="Calibri"/>
          <w:color w:val="000000" w:themeColor="text1"/>
          <w:sz w:val="22"/>
          <w:szCs w:val="22"/>
        </w:rPr>
        <w:t>Administering Authority</w:t>
      </w:r>
      <w:r w:rsidR="00C94DE4" w:rsidRPr="00CF7A58" w:rsidDel="00C94DE4">
        <w:rPr>
          <w:rFonts w:ascii="Calibri" w:hAnsi="Calibri" w:cs="Calibri"/>
          <w:color w:val="000000"/>
          <w:sz w:val="22"/>
          <w:szCs w:val="22"/>
        </w:rPr>
        <w:t xml:space="preserve"> </w:t>
      </w:r>
      <w:r w:rsidRPr="00CF7A58">
        <w:rPr>
          <w:rFonts w:ascii="Calibri" w:hAnsi="Calibri" w:cs="Calibri"/>
          <w:color w:val="000000"/>
          <w:sz w:val="22"/>
          <w:szCs w:val="22"/>
        </w:rPr>
        <w:t xml:space="preserve">reserves the right to also request immediate payment of any ill-health strain payment not covered by the Fund’s ill health </w:t>
      </w:r>
      <w:r w:rsidR="00973F90" w:rsidRPr="00CF7A58">
        <w:rPr>
          <w:rFonts w:ascii="Calibri" w:hAnsi="Calibri" w:cs="Calibri"/>
          <w:color w:val="000000"/>
          <w:sz w:val="22"/>
          <w:szCs w:val="22"/>
        </w:rPr>
        <w:t>pooling</w:t>
      </w:r>
      <w:r w:rsidRPr="00CF7A58">
        <w:rPr>
          <w:rFonts w:ascii="Calibri" w:hAnsi="Calibri" w:cs="Calibri"/>
          <w:color w:val="000000"/>
          <w:sz w:val="22"/>
          <w:szCs w:val="22"/>
        </w:rPr>
        <w:t xml:space="preserve"> policy</w:t>
      </w:r>
      <w:r w:rsidRPr="00CF7A58">
        <w:rPr>
          <w:rStyle w:val="CommentReference"/>
          <w:rFonts w:ascii="Calibri" w:hAnsi="Calibri" w:cs="Calibri"/>
          <w:sz w:val="22"/>
          <w:szCs w:val="22"/>
        </w:rPr>
        <w:t> </w:t>
      </w:r>
    </w:p>
    <w:p w14:paraId="304B8F3B" w14:textId="41C79F97" w:rsidR="009C424F" w:rsidRPr="00CF7A58" w:rsidRDefault="009C424F" w:rsidP="00CF7A58">
      <w:pPr>
        <w:spacing w:after="180"/>
        <w:ind w:left="1276"/>
        <w:rPr>
          <w:rFonts w:ascii="Calibri" w:hAnsi="Calibri" w:cs="Calibri"/>
          <w:iCs/>
          <w:color w:val="000000" w:themeColor="text1"/>
          <w:sz w:val="22"/>
          <w:szCs w:val="22"/>
        </w:rPr>
      </w:pPr>
      <w:r w:rsidRPr="00CF7A58">
        <w:rPr>
          <w:rFonts w:ascii="Calibri" w:hAnsi="Calibri" w:cs="Calibri"/>
          <w:iCs/>
          <w:color w:val="000000" w:themeColor="text1"/>
          <w:sz w:val="22"/>
          <w:szCs w:val="22"/>
        </w:rPr>
        <w:t xml:space="preserve">The </w:t>
      </w:r>
      <w:r w:rsidR="009246DC" w:rsidRPr="00CF7A58">
        <w:rPr>
          <w:rFonts w:ascii="Calibri" w:hAnsi="Calibri" w:cs="Calibri"/>
          <w:color w:val="000000" w:themeColor="text1"/>
          <w:sz w:val="22"/>
          <w:szCs w:val="22"/>
        </w:rPr>
        <w:t>Administering Authority</w:t>
      </w:r>
      <w:r w:rsidR="009246DC" w:rsidRPr="00CF7A58" w:rsidDel="009246DC">
        <w:rPr>
          <w:rFonts w:ascii="Calibri" w:hAnsi="Calibri" w:cs="Calibri"/>
          <w:iCs/>
          <w:color w:val="000000" w:themeColor="text1"/>
          <w:sz w:val="22"/>
          <w:szCs w:val="22"/>
        </w:rPr>
        <w:t xml:space="preserve"> </w:t>
      </w:r>
      <w:r w:rsidRPr="00CF7A58">
        <w:rPr>
          <w:rFonts w:ascii="Calibri" w:hAnsi="Calibri" w:cs="Calibri"/>
          <w:iCs/>
          <w:color w:val="000000" w:themeColor="text1"/>
          <w:sz w:val="22"/>
          <w:szCs w:val="22"/>
        </w:rPr>
        <w:t xml:space="preserve">may require any actuarial, legal, administration and other justifiable cost to be paid by the Scheme employer.  </w:t>
      </w:r>
    </w:p>
    <w:p w14:paraId="5DC28B65" w14:textId="22423887" w:rsidR="00DD3EDE" w:rsidRPr="00CF7A58" w:rsidRDefault="00DD3EDE" w:rsidP="00CF7A58">
      <w:pPr>
        <w:spacing w:after="180"/>
        <w:ind w:left="1276"/>
        <w:rPr>
          <w:rFonts w:ascii="Calibri" w:hAnsi="Calibri" w:cs="Calibri"/>
          <w:iCs/>
          <w:color w:val="000000" w:themeColor="text1"/>
          <w:sz w:val="22"/>
          <w:szCs w:val="22"/>
        </w:rPr>
      </w:pPr>
      <w:r w:rsidRPr="00CF7A58">
        <w:rPr>
          <w:rFonts w:ascii="Calibri" w:hAnsi="Calibri" w:cs="Calibri"/>
          <w:iCs/>
          <w:color w:val="000000" w:themeColor="text1"/>
          <w:sz w:val="22"/>
          <w:szCs w:val="22"/>
        </w:rPr>
        <w:t xml:space="preserve">The </w:t>
      </w:r>
      <w:r w:rsidR="009246DC" w:rsidRPr="00CF7A58">
        <w:rPr>
          <w:rFonts w:ascii="Calibri" w:hAnsi="Calibri" w:cs="Calibri"/>
          <w:color w:val="000000" w:themeColor="text1"/>
          <w:sz w:val="22"/>
          <w:szCs w:val="22"/>
        </w:rPr>
        <w:t>Administering Authority</w:t>
      </w:r>
      <w:r w:rsidR="009246DC" w:rsidRPr="00CF7A58" w:rsidDel="009246DC">
        <w:rPr>
          <w:rFonts w:ascii="Calibri" w:hAnsi="Calibri" w:cs="Calibri"/>
          <w:iCs/>
          <w:color w:val="000000" w:themeColor="text1"/>
          <w:sz w:val="22"/>
          <w:szCs w:val="22"/>
        </w:rPr>
        <w:t xml:space="preserve"> </w:t>
      </w:r>
      <w:r w:rsidRPr="00CF7A58">
        <w:rPr>
          <w:rFonts w:ascii="Calibri" w:hAnsi="Calibri" w:cs="Calibri"/>
          <w:iCs/>
          <w:color w:val="000000" w:themeColor="text1"/>
          <w:sz w:val="22"/>
          <w:szCs w:val="22"/>
        </w:rPr>
        <w:t>will consider, in certain circumstances, amending the employer contribution rate between valuations, further information is set out in the Funding Strategy Statement.</w:t>
      </w:r>
    </w:p>
    <w:p w14:paraId="0B6A8E0B" w14:textId="311591BB" w:rsidR="00FA20B2" w:rsidRPr="00BA39DB" w:rsidRDefault="009E3676" w:rsidP="00BA39DB">
      <w:pPr>
        <w:pStyle w:val="Heading3Num"/>
        <w:tabs>
          <w:tab w:val="clear" w:pos="2127"/>
          <w:tab w:val="num" w:pos="1276"/>
        </w:tabs>
        <w:ind w:hanging="2127"/>
      </w:pPr>
      <w:bookmarkStart w:id="24" w:name="_Toc80875381"/>
      <w:r w:rsidRPr="00BA39DB">
        <w:t xml:space="preserve">Ongoing </w:t>
      </w:r>
      <w:r w:rsidR="00CA511F">
        <w:t>m</w:t>
      </w:r>
      <w:r w:rsidRPr="00BA39DB">
        <w:t xml:space="preserve">onitoring of </w:t>
      </w:r>
      <w:r w:rsidR="00CA511F">
        <w:t>s</w:t>
      </w:r>
      <w:r w:rsidRPr="00BA39DB">
        <w:t>cheme employers</w:t>
      </w:r>
      <w:bookmarkEnd w:id="24"/>
    </w:p>
    <w:p w14:paraId="11D7E223" w14:textId="3D7BDF84" w:rsidR="009E3676" w:rsidRPr="00DF4DAB" w:rsidRDefault="007638A0" w:rsidP="00DF4DAB">
      <w:pPr>
        <w:spacing w:after="180"/>
        <w:ind w:left="1276"/>
        <w:rPr>
          <w:rFonts w:asciiTheme="minorHAnsi" w:hAnsiTheme="minorHAnsi" w:cstheme="minorHAnsi"/>
          <w:color w:val="000000" w:themeColor="text1"/>
          <w:sz w:val="22"/>
          <w:szCs w:val="22"/>
        </w:rPr>
      </w:pPr>
      <w:r w:rsidRPr="00DF4DAB">
        <w:rPr>
          <w:rFonts w:asciiTheme="minorHAnsi" w:hAnsiTheme="minorHAnsi" w:cstheme="minorHAnsi"/>
          <w:iCs/>
          <w:color w:val="000000" w:themeColor="text1"/>
          <w:sz w:val="22"/>
          <w:szCs w:val="22"/>
        </w:rPr>
        <w:t>T</w:t>
      </w:r>
      <w:r w:rsidR="009E3676" w:rsidRPr="00DF4DAB">
        <w:rPr>
          <w:rFonts w:asciiTheme="minorHAnsi" w:hAnsiTheme="minorHAnsi" w:cstheme="minorHAnsi"/>
          <w:iCs/>
          <w:color w:val="000000" w:themeColor="text1"/>
          <w:sz w:val="22"/>
          <w:szCs w:val="22"/>
        </w:rPr>
        <w:t xml:space="preserve">he </w:t>
      </w:r>
      <w:r w:rsidR="009246DC" w:rsidRPr="00DF4DAB">
        <w:rPr>
          <w:rFonts w:asciiTheme="minorHAnsi" w:hAnsiTheme="minorHAnsi" w:cstheme="minorHAnsi"/>
          <w:color w:val="000000" w:themeColor="text1"/>
          <w:sz w:val="22"/>
          <w:szCs w:val="22"/>
        </w:rPr>
        <w:t>Administering Authority</w:t>
      </w:r>
      <w:r w:rsidR="009246DC" w:rsidRPr="00DF4DAB" w:rsidDel="009246DC">
        <w:rPr>
          <w:rFonts w:asciiTheme="minorHAnsi" w:hAnsiTheme="minorHAnsi" w:cstheme="minorHAnsi"/>
          <w:iCs/>
          <w:color w:val="000000" w:themeColor="text1"/>
          <w:sz w:val="22"/>
          <w:szCs w:val="22"/>
        </w:rPr>
        <w:t xml:space="preserve"> </w:t>
      </w:r>
      <w:r w:rsidR="009E3676" w:rsidRPr="00DF4DAB">
        <w:rPr>
          <w:rFonts w:asciiTheme="minorHAnsi" w:hAnsiTheme="minorHAnsi" w:cstheme="minorHAnsi"/>
          <w:iCs/>
          <w:color w:val="000000" w:themeColor="text1"/>
          <w:sz w:val="22"/>
          <w:szCs w:val="22"/>
        </w:rPr>
        <w:t xml:space="preserve">will carry out ongoing monitoring and/or put in place processes to assist with ongoing monitoring.  </w:t>
      </w:r>
      <w:r w:rsidR="00DD3EDE" w:rsidRPr="00DF4DAB">
        <w:rPr>
          <w:rFonts w:asciiTheme="minorHAnsi" w:hAnsiTheme="minorHAnsi" w:cstheme="minorHAnsi"/>
          <w:iCs/>
          <w:color w:val="000000" w:themeColor="text1"/>
          <w:sz w:val="22"/>
          <w:szCs w:val="22"/>
        </w:rPr>
        <w:t xml:space="preserve">As per </w:t>
      </w:r>
      <w:r w:rsidR="002F2C74" w:rsidRPr="00DF4DAB">
        <w:rPr>
          <w:rFonts w:asciiTheme="minorHAnsi" w:hAnsiTheme="minorHAnsi" w:cstheme="minorHAnsi"/>
          <w:iCs/>
          <w:color w:val="000000" w:themeColor="text1"/>
          <w:sz w:val="22"/>
          <w:szCs w:val="22"/>
        </w:rPr>
        <w:t>4.2.4.8 above</w:t>
      </w:r>
      <w:r w:rsidR="009E3676" w:rsidRPr="00DF4DAB">
        <w:rPr>
          <w:rFonts w:asciiTheme="minorHAnsi" w:hAnsiTheme="minorHAnsi" w:cstheme="minorHAnsi"/>
          <w:iCs/>
          <w:color w:val="000000" w:themeColor="text1"/>
          <w:sz w:val="22"/>
          <w:szCs w:val="22"/>
        </w:rPr>
        <w:t xml:space="preserve">, the </w:t>
      </w:r>
      <w:r w:rsidR="009246DC" w:rsidRPr="00DF4DAB">
        <w:rPr>
          <w:rFonts w:asciiTheme="minorHAnsi" w:hAnsiTheme="minorHAnsi" w:cstheme="minorHAnsi"/>
          <w:color w:val="000000" w:themeColor="text1"/>
          <w:sz w:val="22"/>
          <w:szCs w:val="22"/>
        </w:rPr>
        <w:t>Administering Authority</w:t>
      </w:r>
      <w:r w:rsidR="009246DC" w:rsidRPr="00DF4DAB" w:rsidDel="009246DC">
        <w:rPr>
          <w:rFonts w:asciiTheme="minorHAnsi" w:hAnsiTheme="minorHAnsi" w:cstheme="minorHAnsi"/>
          <w:iCs/>
          <w:color w:val="000000" w:themeColor="text1"/>
          <w:sz w:val="22"/>
          <w:szCs w:val="22"/>
        </w:rPr>
        <w:t xml:space="preserve"> </w:t>
      </w:r>
      <w:r w:rsidR="009E3676" w:rsidRPr="00DF4DAB">
        <w:rPr>
          <w:rFonts w:asciiTheme="minorHAnsi" w:hAnsiTheme="minorHAnsi" w:cstheme="minorHAnsi"/>
          <w:iCs/>
          <w:color w:val="000000" w:themeColor="text1"/>
          <w:sz w:val="22"/>
          <w:szCs w:val="22"/>
        </w:rPr>
        <w:t>may review the employer contribution rate (i.e. out</w:t>
      </w:r>
      <w:r w:rsidRPr="00DF4DAB">
        <w:rPr>
          <w:rFonts w:asciiTheme="minorHAnsi" w:hAnsiTheme="minorHAnsi" w:cstheme="minorHAnsi"/>
          <w:iCs/>
          <w:color w:val="000000" w:themeColor="text1"/>
          <w:sz w:val="22"/>
          <w:szCs w:val="22"/>
        </w:rPr>
        <w:t>side</w:t>
      </w:r>
      <w:r w:rsidR="009E3676" w:rsidRPr="00DF4DAB">
        <w:rPr>
          <w:rFonts w:asciiTheme="minorHAnsi" w:hAnsiTheme="minorHAnsi" w:cstheme="minorHAnsi"/>
          <w:iCs/>
          <w:color w:val="000000" w:themeColor="text1"/>
          <w:sz w:val="22"/>
          <w:szCs w:val="22"/>
        </w:rPr>
        <w:t xml:space="preserve"> the formal triennial </w:t>
      </w:r>
      <w:r w:rsidR="002F2C74" w:rsidRPr="00DF4DAB">
        <w:rPr>
          <w:rFonts w:asciiTheme="minorHAnsi" w:hAnsiTheme="minorHAnsi" w:cstheme="minorHAnsi"/>
          <w:iCs/>
          <w:color w:val="000000" w:themeColor="text1"/>
          <w:sz w:val="22"/>
          <w:szCs w:val="22"/>
        </w:rPr>
        <w:t xml:space="preserve">actuarial </w:t>
      </w:r>
      <w:r w:rsidR="009E3676" w:rsidRPr="00DF4DAB">
        <w:rPr>
          <w:rFonts w:asciiTheme="minorHAnsi" w:hAnsiTheme="minorHAnsi" w:cstheme="minorHAnsi"/>
          <w:iCs/>
          <w:color w:val="000000" w:themeColor="text1"/>
          <w:sz w:val="22"/>
          <w:szCs w:val="22"/>
        </w:rPr>
        <w:t>valuation cycle)</w:t>
      </w:r>
      <w:r w:rsidR="00A61034" w:rsidRPr="00DF4DAB">
        <w:rPr>
          <w:rFonts w:asciiTheme="minorHAnsi" w:hAnsiTheme="minorHAnsi" w:cstheme="minorHAnsi"/>
          <w:iCs/>
          <w:color w:val="000000" w:themeColor="text1"/>
          <w:sz w:val="22"/>
          <w:szCs w:val="22"/>
        </w:rPr>
        <w:t>.</w:t>
      </w:r>
    </w:p>
    <w:p w14:paraId="220B1DA7" w14:textId="77777777" w:rsidR="009F6F93" w:rsidRPr="00717E78" w:rsidRDefault="009E3676" w:rsidP="00DF4DAB">
      <w:pPr>
        <w:pStyle w:val="Heading3Num"/>
        <w:tabs>
          <w:tab w:val="clear" w:pos="2127"/>
        </w:tabs>
        <w:ind w:left="1276" w:hanging="1276"/>
      </w:pPr>
      <w:bookmarkStart w:id="25" w:name="_Toc80875382"/>
      <w:r w:rsidRPr="00717E78">
        <w:t>Cessation terms and requirements</w:t>
      </w:r>
      <w:bookmarkEnd w:id="25"/>
      <w:r w:rsidRPr="00717E78">
        <w:t xml:space="preserve"> </w:t>
      </w:r>
    </w:p>
    <w:p w14:paraId="1F7D4758" w14:textId="628791B8" w:rsidR="009E3676" w:rsidRPr="00DF4DAB" w:rsidRDefault="009E3676" w:rsidP="00DF4DAB">
      <w:pPr>
        <w:spacing w:after="180"/>
        <w:ind w:left="1276"/>
        <w:rPr>
          <w:rFonts w:asciiTheme="minorHAnsi" w:hAnsiTheme="minorHAnsi" w:cstheme="minorHAnsi"/>
          <w:iCs/>
          <w:color w:val="000000" w:themeColor="text1"/>
          <w:sz w:val="22"/>
          <w:szCs w:val="22"/>
        </w:rPr>
      </w:pPr>
      <w:r w:rsidRPr="00DF4DAB">
        <w:rPr>
          <w:rFonts w:asciiTheme="minorHAnsi" w:hAnsiTheme="minorHAnsi" w:cstheme="minorHAnsi"/>
          <w:iCs/>
          <w:color w:val="000000" w:themeColor="text1"/>
          <w:sz w:val="22"/>
          <w:szCs w:val="22"/>
        </w:rPr>
        <w:t xml:space="preserve">Termination of an </w:t>
      </w:r>
      <w:r w:rsidR="00B04275" w:rsidRPr="00DF4DAB">
        <w:rPr>
          <w:rFonts w:asciiTheme="minorHAnsi" w:hAnsiTheme="minorHAnsi" w:cstheme="minorHAnsi"/>
          <w:iCs/>
          <w:color w:val="000000" w:themeColor="text1"/>
          <w:sz w:val="22"/>
          <w:szCs w:val="22"/>
        </w:rPr>
        <w:t>employer</w:t>
      </w:r>
      <w:r w:rsidRPr="00DF4DAB">
        <w:rPr>
          <w:rFonts w:asciiTheme="minorHAnsi" w:hAnsiTheme="minorHAnsi" w:cstheme="minorHAnsi"/>
          <w:iCs/>
          <w:color w:val="000000" w:themeColor="text1"/>
          <w:sz w:val="22"/>
          <w:szCs w:val="22"/>
        </w:rPr>
        <w:t xml:space="preserve"> would be considered to take place, though not limited to, the following circumstances:</w:t>
      </w:r>
    </w:p>
    <w:p w14:paraId="2426ACDF" w14:textId="77777777" w:rsidR="009E3676" w:rsidRPr="002662E6" w:rsidRDefault="009E367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Where no further active members exist; or</w:t>
      </w:r>
    </w:p>
    <w:p w14:paraId="7AC2BFCC" w14:textId="77777777" w:rsidR="009E3676" w:rsidRPr="002662E6" w:rsidRDefault="009E367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Where the employer is woun</w:t>
      </w:r>
      <w:r w:rsidR="00A61034" w:rsidRPr="002662E6">
        <w:rPr>
          <w:rFonts w:asciiTheme="minorHAnsi" w:hAnsiTheme="minorHAnsi" w:cstheme="minorHAnsi"/>
          <w:color w:val="auto"/>
          <w:szCs w:val="22"/>
        </w:rPr>
        <w:t>d up, merged or ceases to exist; or</w:t>
      </w:r>
    </w:p>
    <w:p w14:paraId="1C44FEAE" w14:textId="293D8591" w:rsidR="007638A0" w:rsidRPr="00045868" w:rsidRDefault="007638A0" w:rsidP="00EC7ACE">
      <w:pPr>
        <w:pStyle w:val="ListParagraph"/>
        <w:numPr>
          <w:ilvl w:val="0"/>
          <w:numId w:val="7"/>
        </w:numPr>
        <w:spacing w:after="180"/>
        <w:rPr>
          <w:rFonts w:asciiTheme="minorHAnsi" w:hAnsiTheme="minorHAnsi" w:cstheme="minorHAnsi"/>
          <w:iCs/>
          <w:color w:val="auto"/>
          <w:szCs w:val="22"/>
        </w:rPr>
      </w:pPr>
      <w:r w:rsidRPr="00045868">
        <w:rPr>
          <w:rFonts w:asciiTheme="minorHAnsi" w:hAnsiTheme="minorHAnsi" w:cstheme="minorHAnsi"/>
          <w:color w:val="auto"/>
          <w:szCs w:val="22"/>
        </w:rPr>
        <w:t xml:space="preserve">Where the employer moves to another LGPS Fund, or another pension scheme, due to </w:t>
      </w:r>
      <w:r w:rsidRPr="00045868">
        <w:rPr>
          <w:rFonts w:asciiTheme="minorHAnsi" w:hAnsiTheme="minorHAnsi" w:cstheme="minorHAnsi"/>
          <w:iCs/>
          <w:color w:val="auto"/>
          <w:szCs w:val="22"/>
        </w:rPr>
        <w:t>reorganisation.</w:t>
      </w:r>
    </w:p>
    <w:p w14:paraId="42B70104" w14:textId="1FDA2B2E" w:rsidR="009E3676" w:rsidRPr="00045868" w:rsidRDefault="009E3676" w:rsidP="00045868">
      <w:pPr>
        <w:pStyle w:val="Heading3Num"/>
        <w:tabs>
          <w:tab w:val="clear" w:pos="2127"/>
        </w:tabs>
        <w:ind w:left="1276" w:hanging="1276"/>
      </w:pPr>
      <w:bookmarkStart w:id="26" w:name="_Toc80875383"/>
      <w:r w:rsidRPr="00045868">
        <w:t xml:space="preserve">Future </w:t>
      </w:r>
      <w:r w:rsidR="00CA511F" w:rsidRPr="00045868">
        <w:t>c</w:t>
      </w:r>
      <w:r w:rsidRPr="00045868">
        <w:t>essations</w:t>
      </w:r>
      <w:bookmarkEnd w:id="26"/>
      <w:r w:rsidRPr="00045868">
        <w:t xml:space="preserve"> </w:t>
      </w:r>
    </w:p>
    <w:p w14:paraId="01AEDEE8" w14:textId="6F36055C" w:rsidR="007638A0" w:rsidRPr="00565013" w:rsidRDefault="007638A0" w:rsidP="00DF4DAB">
      <w:pPr>
        <w:spacing w:after="180"/>
        <w:ind w:left="1276"/>
        <w:rPr>
          <w:rFonts w:asciiTheme="minorHAnsi" w:hAnsiTheme="minorHAnsi" w:cstheme="minorHAnsi"/>
          <w:color w:val="000000" w:themeColor="text1"/>
          <w:sz w:val="22"/>
          <w:szCs w:val="22"/>
        </w:rPr>
      </w:pPr>
      <w:r w:rsidRPr="00565013">
        <w:rPr>
          <w:rFonts w:asciiTheme="minorHAnsi" w:hAnsiTheme="minorHAnsi" w:cstheme="minorHAnsi"/>
          <w:iCs/>
          <w:color w:val="000000" w:themeColor="text1"/>
          <w:sz w:val="22"/>
          <w:szCs w:val="22"/>
        </w:rPr>
        <w:t xml:space="preserve">Where a Scheme employer is likely to terminate within the next 5 to 10 years due to losing its last active member within that timeframe, the </w:t>
      </w:r>
      <w:r w:rsidR="009246DC" w:rsidRPr="00565013">
        <w:rPr>
          <w:rFonts w:asciiTheme="minorHAnsi" w:hAnsiTheme="minorHAnsi" w:cstheme="minorHAnsi"/>
          <w:color w:val="000000" w:themeColor="text1"/>
          <w:sz w:val="22"/>
          <w:szCs w:val="22"/>
        </w:rPr>
        <w:t>Administering Authority</w:t>
      </w:r>
      <w:r w:rsidR="009246DC" w:rsidRPr="00565013" w:rsidDel="009246DC">
        <w:rPr>
          <w:rFonts w:asciiTheme="minorHAnsi" w:hAnsiTheme="minorHAnsi" w:cstheme="minorHAnsi"/>
          <w:iCs/>
          <w:color w:val="000000" w:themeColor="text1"/>
          <w:sz w:val="22"/>
          <w:szCs w:val="22"/>
        </w:rPr>
        <w:t xml:space="preserve"> </w:t>
      </w:r>
      <w:r w:rsidRPr="00565013">
        <w:rPr>
          <w:rFonts w:asciiTheme="minorHAnsi" w:hAnsiTheme="minorHAnsi" w:cstheme="minorHAnsi"/>
          <w:iCs/>
          <w:color w:val="000000" w:themeColor="text1"/>
          <w:sz w:val="22"/>
          <w:szCs w:val="22"/>
        </w:rPr>
        <w:t>reserves the right to set contribution rates by reference to liabilities valued on the ter</w:t>
      </w:r>
      <w:r w:rsidR="00DF4DAB" w:rsidRPr="00565013">
        <w:rPr>
          <w:rFonts w:asciiTheme="minorHAnsi" w:hAnsiTheme="minorHAnsi" w:cstheme="minorHAnsi"/>
          <w:iCs/>
          <w:color w:val="000000" w:themeColor="text1"/>
          <w:sz w:val="22"/>
          <w:szCs w:val="22"/>
        </w:rPr>
        <w:t>mination basis (as per below). </w:t>
      </w:r>
      <w:r w:rsidRPr="00565013">
        <w:rPr>
          <w:rFonts w:asciiTheme="minorHAnsi" w:hAnsiTheme="minorHAnsi" w:cstheme="minorHAnsi"/>
          <w:iCs/>
          <w:color w:val="000000" w:themeColor="text1"/>
          <w:sz w:val="22"/>
          <w:szCs w:val="22"/>
        </w:rPr>
        <w:t>The target in setting contributions for any employer in these circumstances is to achieve full funding on a termination basis by the time the employer terminates, in order to protec</w:t>
      </w:r>
      <w:r w:rsidR="00DF4DAB" w:rsidRPr="00565013">
        <w:rPr>
          <w:rFonts w:asciiTheme="minorHAnsi" w:hAnsiTheme="minorHAnsi" w:cstheme="minorHAnsi"/>
          <w:iCs/>
          <w:color w:val="000000" w:themeColor="text1"/>
          <w:sz w:val="22"/>
          <w:szCs w:val="22"/>
        </w:rPr>
        <w:t>t other employers in the Fund. </w:t>
      </w:r>
      <w:r w:rsidRPr="00565013">
        <w:rPr>
          <w:rFonts w:asciiTheme="minorHAnsi" w:hAnsiTheme="minorHAnsi" w:cstheme="minorHAnsi"/>
          <w:iCs/>
          <w:color w:val="000000" w:themeColor="text1"/>
          <w:sz w:val="22"/>
          <w:szCs w:val="22"/>
        </w:rPr>
        <w:t>This policy will increase regular contributions and reduce, but not entirely eliminate, the possibility of a final deficit payment being required on termination.</w:t>
      </w:r>
      <w:r w:rsidR="00A51DDC" w:rsidRPr="00565013">
        <w:rPr>
          <w:rFonts w:asciiTheme="minorHAnsi" w:hAnsiTheme="minorHAnsi" w:cstheme="minorHAnsi"/>
          <w:iCs/>
          <w:color w:val="000000" w:themeColor="text1"/>
          <w:sz w:val="22"/>
          <w:szCs w:val="22"/>
        </w:rPr>
        <w:t xml:space="preserve"> </w:t>
      </w:r>
      <w:r w:rsidR="00574FAA" w:rsidRPr="00565013">
        <w:rPr>
          <w:rFonts w:asciiTheme="minorHAnsi" w:hAnsiTheme="minorHAnsi" w:cstheme="minorHAnsi"/>
          <w:iCs/>
          <w:color w:val="000000" w:themeColor="text1"/>
          <w:sz w:val="22"/>
          <w:szCs w:val="22"/>
        </w:rPr>
        <w:t>However</w:t>
      </w:r>
      <w:r w:rsidR="00A51DDC" w:rsidRPr="00565013">
        <w:rPr>
          <w:rFonts w:asciiTheme="minorHAnsi" w:hAnsiTheme="minorHAnsi" w:cstheme="minorHAnsi"/>
          <w:iCs/>
          <w:color w:val="000000" w:themeColor="text1"/>
          <w:sz w:val="22"/>
          <w:szCs w:val="22"/>
        </w:rPr>
        <w:t>,</w:t>
      </w:r>
      <w:r w:rsidR="00574FAA" w:rsidRPr="00565013">
        <w:rPr>
          <w:rFonts w:asciiTheme="minorHAnsi" w:hAnsiTheme="minorHAnsi" w:cstheme="minorHAnsi"/>
          <w:iCs/>
          <w:color w:val="000000" w:themeColor="text1"/>
          <w:sz w:val="22"/>
          <w:szCs w:val="22"/>
        </w:rPr>
        <w:t xml:space="preserve"> it will also assist the employer in the affordability of its eventual cessation debt.</w:t>
      </w:r>
    </w:p>
    <w:p w14:paraId="2CAA25B3" w14:textId="09D04BDF" w:rsidR="001538AD" w:rsidRDefault="001538AD" w:rsidP="00DF4DAB">
      <w:pPr>
        <w:pStyle w:val="Heading3Num"/>
        <w:tabs>
          <w:tab w:val="clear" w:pos="2127"/>
          <w:tab w:val="num" w:pos="1276"/>
        </w:tabs>
        <w:ind w:hanging="2127"/>
      </w:pPr>
      <w:bookmarkStart w:id="27" w:name="_Toc80875384"/>
      <w:r w:rsidRPr="00DF4DAB">
        <w:t>Deferral</w:t>
      </w:r>
      <w:r>
        <w:t xml:space="preserve"> of </w:t>
      </w:r>
      <w:r w:rsidR="00CA511F">
        <w:t>c</w:t>
      </w:r>
      <w:r>
        <w:t>essation debt</w:t>
      </w:r>
      <w:bookmarkEnd w:id="27"/>
    </w:p>
    <w:p w14:paraId="16751F72" w14:textId="33EEBE93" w:rsidR="001538AD" w:rsidRPr="00DF4DAB" w:rsidRDefault="001538AD" w:rsidP="00DF4DAB">
      <w:pPr>
        <w:spacing w:after="180"/>
        <w:ind w:left="1276"/>
        <w:rPr>
          <w:rFonts w:ascii="Calibri" w:hAnsi="Calibri" w:cs="Calibri"/>
          <w:bCs/>
          <w:color w:val="000000" w:themeColor="text1"/>
          <w:sz w:val="22"/>
          <w:szCs w:val="22"/>
        </w:rPr>
      </w:pPr>
      <w:r w:rsidRPr="00DF4DAB">
        <w:rPr>
          <w:rFonts w:ascii="Calibri" w:hAnsi="Calibri" w:cs="Calibri"/>
          <w:bCs/>
          <w:color w:val="000000" w:themeColor="text1"/>
          <w:sz w:val="22"/>
          <w:szCs w:val="22"/>
        </w:rPr>
        <w:t xml:space="preserve">Where an </w:t>
      </w:r>
      <w:r w:rsidR="006F6424" w:rsidRPr="00DF4DAB">
        <w:rPr>
          <w:rFonts w:ascii="Calibri" w:hAnsi="Calibri" w:cs="Calibri"/>
          <w:bCs/>
          <w:color w:val="000000" w:themeColor="text1"/>
          <w:sz w:val="22"/>
          <w:szCs w:val="22"/>
        </w:rPr>
        <w:t>employer</w:t>
      </w:r>
      <w:r w:rsidRPr="00DF4DAB">
        <w:rPr>
          <w:rFonts w:ascii="Calibri" w:hAnsi="Calibri" w:cs="Calibri"/>
          <w:bCs/>
          <w:color w:val="000000" w:themeColor="text1"/>
          <w:sz w:val="22"/>
          <w:szCs w:val="22"/>
        </w:rPr>
        <w:t xml:space="preserve"> has ceased from participating in the Fund but is expected to have one or more new active Fund members within the </w:t>
      </w:r>
      <w:r w:rsidR="000D3000" w:rsidRPr="00DF4DAB">
        <w:rPr>
          <w:rFonts w:ascii="Calibri" w:hAnsi="Calibri" w:cs="Calibri"/>
          <w:bCs/>
          <w:color w:val="000000" w:themeColor="text1"/>
          <w:sz w:val="22"/>
          <w:szCs w:val="22"/>
        </w:rPr>
        <w:t>three-year</w:t>
      </w:r>
      <w:r w:rsidRPr="00DF4DAB">
        <w:rPr>
          <w:rFonts w:ascii="Calibri" w:hAnsi="Calibri" w:cs="Calibri"/>
          <w:bCs/>
          <w:color w:val="000000" w:themeColor="text1"/>
          <w:sz w:val="22"/>
          <w:szCs w:val="22"/>
        </w:rPr>
        <w:t xml:space="preserve"> period following the cessation event, the </w:t>
      </w:r>
      <w:r w:rsidR="006D08EB" w:rsidRPr="00DF4DAB">
        <w:rPr>
          <w:rFonts w:ascii="Calibri" w:hAnsi="Calibri" w:cs="Calibri"/>
          <w:color w:val="000000" w:themeColor="text1"/>
          <w:sz w:val="22"/>
          <w:szCs w:val="22"/>
        </w:rPr>
        <w:t>Administering Authority</w:t>
      </w:r>
      <w:r w:rsidR="006D08EB" w:rsidRPr="00DF4DAB" w:rsidDel="006D08EB">
        <w:rPr>
          <w:rFonts w:ascii="Calibri" w:hAnsi="Calibri" w:cs="Calibri"/>
          <w:bCs/>
          <w:color w:val="000000" w:themeColor="text1"/>
          <w:sz w:val="22"/>
          <w:szCs w:val="22"/>
        </w:rPr>
        <w:t xml:space="preserve"> </w:t>
      </w:r>
      <w:r w:rsidRPr="00DF4DAB">
        <w:rPr>
          <w:rFonts w:ascii="Calibri" w:hAnsi="Calibri" w:cs="Calibri"/>
          <w:bCs/>
          <w:color w:val="000000" w:themeColor="text1"/>
          <w:sz w:val="22"/>
          <w:szCs w:val="22"/>
        </w:rPr>
        <w:t xml:space="preserve">has the discretion to suspend payment of the cessation debt for an agreed period of time. Where approved, the </w:t>
      </w:r>
      <w:r w:rsidR="006D08EB" w:rsidRPr="00DF4DAB">
        <w:rPr>
          <w:rFonts w:ascii="Calibri" w:hAnsi="Calibri" w:cs="Calibri"/>
          <w:color w:val="000000" w:themeColor="text1"/>
          <w:sz w:val="22"/>
          <w:szCs w:val="22"/>
        </w:rPr>
        <w:t>Administering Authority</w:t>
      </w:r>
      <w:r w:rsidR="006D08EB" w:rsidRPr="00DF4DAB" w:rsidDel="006D08EB">
        <w:rPr>
          <w:rFonts w:ascii="Calibri" w:hAnsi="Calibri" w:cs="Calibri"/>
          <w:bCs/>
          <w:color w:val="000000" w:themeColor="text1"/>
          <w:sz w:val="22"/>
          <w:szCs w:val="22"/>
        </w:rPr>
        <w:t xml:space="preserve"> </w:t>
      </w:r>
      <w:r w:rsidRPr="00DF4DAB">
        <w:rPr>
          <w:rFonts w:ascii="Calibri" w:hAnsi="Calibri" w:cs="Calibri"/>
          <w:bCs/>
          <w:color w:val="000000" w:themeColor="text1"/>
          <w:sz w:val="22"/>
          <w:szCs w:val="22"/>
        </w:rPr>
        <w:t>will liaise directly with the employer and confirm the contribution rate requirements to be paid during the period of deferral.</w:t>
      </w:r>
    </w:p>
    <w:p w14:paraId="2644139C" w14:textId="4D27C68A" w:rsidR="001538AD" w:rsidRDefault="001538AD" w:rsidP="00A51DDC">
      <w:pPr>
        <w:pStyle w:val="Heading3Num"/>
        <w:tabs>
          <w:tab w:val="clear" w:pos="2127"/>
        </w:tabs>
        <w:ind w:left="1276" w:hanging="1276"/>
      </w:pPr>
      <w:bookmarkStart w:id="28" w:name="_Toc80875385"/>
      <w:r w:rsidRPr="00A51DDC">
        <w:t>Deferred</w:t>
      </w:r>
      <w:r>
        <w:t xml:space="preserve"> </w:t>
      </w:r>
      <w:r w:rsidR="00CA511F">
        <w:t>d</w:t>
      </w:r>
      <w:r>
        <w:t xml:space="preserve">ebt </w:t>
      </w:r>
      <w:r w:rsidR="00CA511F">
        <w:t>a</w:t>
      </w:r>
      <w:r>
        <w:t>greement (“DDA”) alternative to immediate cessation</w:t>
      </w:r>
      <w:bookmarkEnd w:id="28"/>
    </w:p>
    <w:p w14:paraId="1CB10E2F" w14:textId="34695D95" w:rsidR="001538AD" w:rsidRPr="0095040C" w:rsidRDefault="001538AD" w:rsidP="0095040C">
      <w:pPr>
        <w:spacing w:after="180"/>
        <w:ind w:left="1276"/>
        <w:rPr>
          <w:rFonts w:ascii="Calibri" w:hAnsi="Calibri" w:cs="Calibri"/>
          <w:bCs/>
          <w:color w:val="000000" w:themeColor="text1"/>
          <w:sz w:val="22"/>
          <w:szCs w:val="22"/>
        </w:rPr>
      </w:pPr>
      <w:r w:rsidRPr="00A51DDC">
        <w:rPr>
          <w:rFonts w:ascii="Calibri" w:hAnsi="Calibri" w:cs="Calibri"/>
          <w:bCs/>
          <w:color w:val="000000" w:themeColor="text1"/>
          <w:sz w:val="22"/>
          <w:szCs w:val="22"/>
        </w:rPr>
        <w:t xml:space="preserve">The </w:t>
      </w:r>
      <w:r w:rsidR="006D08EB" w:rsidRPr="00A51DDC">
        <w:rPr>
          <w:rFonts w:ascii="Calibri" w:hAnsi="Calibri" w:cs="Calibri"/>
          <w:color w:val="000000" w:themeColor="text1"/>
          <w:sz w:val="22"/>
          <w:szCs w:val="22"/>
        </w:rPr>
        <w:t>Administering Authority</w:t>
      </w:r>
      <w:r w:rsidR="006D08EB" w:rsidRPr="00A51DDC" w:rsidDel="006D08EB">
        <w:rPr>
          <w:rFonts w:ascii="Calibri" w:hAnsi="Calibri" w:cs="Calibri"/>
          <w:bCs/>
          <w:color w:val="000000" w:themeColor="text1"/>
          <w:sz w:val="22"/>
          <w:szCs w:val="22"/>
        </w:rPr>
        <w:t xml:space="preserve"> </w:t>
      </w:r>
      <w:r w:rsidRPr="00A51DDC">
        <w:rPr>
          <w:rFonts w:ascii="Calibri" w:hAnsi="Calibri" w:cs="Calibri"/>
          <w:bCs/>
          <w:color w:val="000000" w:themeColor="text1"/>
          <w:sz w:val="22"/>
          <w:szCs w:val="22"/>
        </w:rPr>
        <w:t xml:space="preserve">may, at its discretion, allow a ceasing employer who is continuing in business, to enter into a funding agreement whereby the payment of an exit debt is deferred and, instead, the employer continues to pay secondary contributions. Further details on this type of agreement are set out within the Funding Strategy Statement, but any agreement would be considered on an individual basis. The </w:t>
      </w:r>
      <w:r w:rsidR="006D08EB" w:rsidRPr="00A51DDC">
        <w:rPr>
          <w:rFonts w:ascii="Calibri" w:hAnsi="Calibri" w:cs="Calibri"/>
          <w:color w:val="000000" w:themeColor="text1"/>
          <w:sz w:val="22"/>
          <w:szCs w:val="22"/>
        </w:rPr>
        <w:t>Administering Authority</w:t>
      </w:r>
      <w:r w:rsidR="006D08EB" w:rsidRPr="00A51DDC" w:rsidDel="006D08EB">
        <w:rPr>
          <w:rFonts w:ascii="Calibri" w:hAnsi="Calibri" w:cs="Calibri"/>
          <w:bCs/>
          <w:color w:val="000000" w:themeColor="text1"/>
          <w:sz w:val="22"/>
          <w:szCs w:val="22"/>
        </w:rPr>
        <w:t xml:space="preserve"> </w:t>
      </w:r>
      <w:r w:rsidRPr="00A51DDC">
        <w:rPr>
          <w:rFonts w:ascii="Calibri" w:hAnsi="Calibri" w:cs="Calibri"/>
          <w:bCs/>
          <w:color w:val="000000" w:themeColor="text1"/>
          <w:sz w:val="22"/>
          <w:szCs w:val="22"/>
        </w:rPr>
        <w:t>will likely require some form of security from the ceasing employer to enter into such an agreement.</w:t>
      </w:r>
    </w:p>
    <w:p w14:paraId="0F6BDBF1" w14:textId="77777777" w:rsidR="009E3676" w:rsidRPr="00370B82" w:rsidRDefault="009E3676" w:rsidP="002662E6">
      <w:pPr>
        <w:pStyle w:val="Heading3Num"/>
        <w:tabs>
          <w:tab w:val="clear" w:pos="2127"/>
        </w:tabs>
        <w:ind w:left="1276" w:hanging="1276"/>
      </w:pPr>
      <w:bookmarkStart w:id="29" w:name="_Toc80875386"/>
      <w:r w:rsidRPr="002662E6">
        <w:t>Basis of termination</w:t>
      </w:r>
      <w:r w:rsidRPr="00370B82">
        <w:t xml:space="preserve"> valuation</w:t>
      </w:r>
      <w:bookmarkEnd w:id="29"/>
      <w:r w:rsidRPr="00370B82">
        <w:t xml:space="preserve"> </w:t>
      </w:r>
    </w:p>
    <w:p w14:paraId="37E166D9" w14:textId="77777777" w:rsidR="009E3676" w:rsidRPr="00A51DDC" w:rsidRDefault="009E3676" w:rsidP="00A51DDC">
      <w:pPr>
        <w:spacing w:after="180"/>
        <w:ind w:left="1276"/>
        <w:rPr>
          <w:rFonts w:asciiTheme="minorHAnsi" w:hAnsiTheme="minorHAnsi" w:cstheme="minorHAnsi"/>
          <w:iCs/>
          <w:color w:val="000000" w:themeColor="text1"/>
          <w:sz w:val="22"/>
          <w:szCs w:val="22"/>
        </w:rPr>
      </w:pPr>
      <w:r w:rsidRPr="00A51DDC">
        <w:rPr>
          <w:rFonts w:asciiTheme="minorHAnsi" w:hAnsiTheme="minorHAnsi" w:cstheme="minorHAnsi"/>
          <w:iCs/>
          <w:color w:val="000000" w:themeColor="text1"/>
          <w:sz w:val="22"/>
          <w:szCs w:val="22"/>
        </w:rPr>
        <w:t xml:space="preserve">The </w:t>
      </w:r>
      <w:r w:rsidR="00CC700A" w:rsidRPr="00A51DDC">
        <w:rPr>
          <w:rFonts w:asciiTheme="minorHAnsi" w:hAnsiTheme="minorHAnsi" w:cstheme="minorHAnsi"/>
          <w:iCs/>
          <w:color w:val="000000" w:themeColor="text1"/>
          <w:sz w:val="22"/>
          <w:szCs w:val="22"/>
        </w:rPr>
        <w:t>F</w:t>
      </w:r>
      <w:r w:rsidR="00026509" w:rsidRPr="00A51DDC">
        <w:rPr>
          <w:rFonts w:asciiTheme="minorHAnsi" w:hAnsiTheme="minorHAnsi" w:cstheme="minorHAnsi"/>
          <w:iCs/>
          <w:color w:val="000000" w:themeColor="text1"/>
          <w:sz w:val="22"/>
          <w:szCs w:val="22"/>
        </w:rPr>
        <w:t>und</w:t>
      </w:r>
      <w:r w:rsidR="00E13105" w:rsidRPr="00A51DDC">
        <w:rPr>
          <w:rFonts w:asciiTheme="minorHAnsi" w:hAnsiTheme="minorHAnsi" w:cstheme="minorHAnsi"/>
          <w:iCs/>
          <w:color w:val="000000" w:themeColor="text1"/>
          <w:sz w:val="22"/>
          <w:szCs w:val="22"/>
        </w:rPr>
        <w:t>’</w:t>
      </w:r>
      <w:r w:rsidRPr="00A51DDC">
        <w:rPr>
          <w:rFonts w:asciiTheme="minorHAnsi" w:hAnsiTheme="minorHAnsi" w:cstheme="minorHAnsi"/>
          <w:iCs/>
          <w:color w:val="000000" w:themeColor="text1"/>
          <w:sz w:val="22"/>
          <w:szCs w:val="22"/>
        </w:rPr>
        <w:t xml:space="preserve">s general principle on the cessation of an </w:t>
      </w:r>
      <w:r w:rsidR="00B04275" w:rsidRPr="00A51DDC">
        <w:rPr>
          <w:rFonts w:asciiTheme="minorHAnsi" w:hAnsiTheme="minorHAnsi" w:cstheme="minorHAnsi"/>
          <w:iCs/>
          <w:color w:val="000000" w:themeColor="text1"/>
          <w:sz w:val="22"/>
          <w:szCs w:val="22"/>
        </w:rPr>
        <w:t>employer</w:t>
      </w:r>
      <w:r w:rsidRPr="00A51DDC">
        <w:rPr>
          <w:rFonts w:asciiTheme="minorHAnsi" w:hAnsiTheme="minorHAnsi" w:cstheme="minorHAnsi"/>
          <w:iCs/>
          <w:color w:val="000000" w:themeColor="text1"/>
          <w:sz w:val="22"/>
          <w:szCs w:val="22"/>
        </w:rPr>
        <w:t xml:space="preserve"> is to assume a “clean break” on termination, i.e. the departing employer’s liability to make further contributions to the </w:t>
      </w:r>
      <w:r w:rsidR="00CC700A" w:rsidRPr="00A51DDC">
        <w:rPr>
          <w:rFonts w:asciiTheme="minorHAnsi" w:hAnsiTheme="minorHAnsi" w:cstheme="minorHAnsi"/>
          <w:iCs/>
          <w:color w:val="000000" w:themeColor="text1"/>
          <w:sz w:val="22"/>
          <w:szCs w:val="22"/>
        </w:rPr>
        <w:t>F</w:t>
      </w:r>
      <w:r w:rsidR="00026509" w:rsidRPr="00A51DDC">
        <w:rPr>
          <w:rFonts w:asciiTheme="minorHAnsi" w:hAnsiTheme="minorHAnsi" w:cstheme="minorHAnsi"/>
          <w:iCs/>
          <w:color w:val="000000" w:themeColor="text1"/>
          <w:sz w:val="22"/>
          <w:szCs w:val="22"/>
        </w:rPr>
        <w:t>und</w:t>
      </w:r>
      <w:r w:rsidRPr="00A51DDC">
        <w:rPr>
          <w:rFonts w:asciiTheme="minorHAnsi" w:hAnsiTheme="minorHAnsi" w:cstheme="minorHAnsi"/>
          <w:iCs/>
          <w:color w:val="000000" w:themeColor="text1"/>
          <w:sz w:val="22"/>
          <w:szCs w:val="22"/>
        </w:rPr>
        <w:t xml:space="preserve"> is extinguished on payment of the termination deficit calculated on an appropriate basis.</w:t>
      </w:r>
    </w:p>
    <w:p w14:paraId="5D335272" w14:textId="77777777" w:rsidR="009E3676" w:rsidRPr="00A51DDC" w:rsidRDefault="009E3676" w:rsidP="00A51DDC">
      <w:pPr>
        <w:spacing w:after="180"/>
        <w:ind w:left="1276"/>
        <w:rPr>
          <w:rFonts w:asciiTheme="minorHAnsi" w:hAnsiTheme="minorHAnsi" w:cstheme="minorHAnsi"/>
          <w:iCs/>
          <w:color w:val="000000" w:themeColor="text1"/>
          <w:sz w:val="22"/>
          <w:szCs w:val="22"/>
        </w:rPr>
      </w:pPr>
      <w:r w:rsidRPr="00A51DDC">
        <w:rPr>
          <w:rFonts w:asciiTheme="minorHAnsi" w:hAnsiTheme="minorHAnsi" w:cstheme="minorHAnsi"/>
          <w:iCs/>
          <w:color w:val="000000" w:themeColor="text1"/>
          <w:sz w:val="22"/>
          <w:szCs w:val="22"/>
        </w:rPr>
        <w:t xml:space="preserve">The </w:t>
      </w:r>
      <w:r w:rsidR="00CC700A" w:rsidRPr="00A51DDC">
        <w:rPr>
          <w:rFonts w:asciiTheme="minorHAnsi" w:hAnsiTheme="minorHAnsi" w:cstheme="minorHAnsi"/>
          <w:iCs/>
          <w:color w:val="000000" w:themeColor="text1"/>
          <w:sz w:val="22"/>
          <w:szCs w:val="22"/>
        </w:rPr>
        <w:t>F</w:t>
      </w:r>
      <w:r w:rsidR="00026509" w:rsidRPr="00A51DDC">
        <w:rPr>
          <w:rFonts w:asciiTheme="minorHAnsi" w:hAnsiTheme="minorHAnsi" w:cstheme="minorHAnsi"/>
          <w:iCs/>
          <w:color w:val="000000" w:themeColor="text1"/>
          <w:sz w:val="22"/>
          <w:szCs w:val="22"/>
        </w:rPr>
        <w:t>und</w:t>
      </w:r>
      <w:r w:rsidRPr="00A51DDC">
        <w:rPr>
          <w:rFonts w:asciiTheme="minorHAnsi" w:hAnsiTheme="minorHAnsi" w:cstheme="minorHAnsi"/>
          <w:iCs/>
          <w:color w:val="000000" w:themeColor="text1"/>
          <w:sz w:val="22"/>
          <w:szCs w:val="22"/>
        </w:rPr>
        <w:t>’s policy in relation to the calculation of cessation valuations is shown below, albeit each case will be considered on its own merits in accordance with the Scheme of Delegation.</w:t>
      </w:r>
    </w:p>
    <w:p w14:paraId="14EEC16C" w14:textId="6D34D3E6" w:rsidR="009E3676" w:rsidRPr="00A51DDC" w:rsidRDefault="00E13105" w:rsidP="00A51DDC">
      <w:pPr>
        <w:spacing w:after="180"/>
        <w:ind w:left="1276"/>
        <w:rPr>
          <w:rFonts w:asciiTheme="minorHAnsi" w:hAnsiTheme="minorHAnsi" w:cstheme="minorHAnsi"/>
          <w:iCs/>
          <w:color w:val="000000" w:themeColor="text1"/>
          <w:sz w:val="22"/>
          <w:szCs w:val="22"/>
        </w:rPr>
      </w:pPr>
      <w:r w:rsidRPr="00A51DDC">
        <w:rPr>
          <w:rFonts w:asciiTheme="minorHAnsi" w:hAnsiTheme="minorHAnsi" w:cstheme="minorHAnsi"/>
          <w:iCs/>
          <w:color w:val="000000" w:themeColor="text1"/>
          <w:sz w:val="22"/>
          <w:szCs w:val="22"/>
        </w:rPr>
        <w:t>T</w:t>
      </w:r>
      <w:r w:rsidR="009E3676" w:rsidRPr="00A51DDC">
        <w:rPr>
          <w:rFonts w:asciiTheme="minorHAnsi" w:hAnsiTheme="minorHAnsi" w:cstheme="minorHAnsi"/>
          <w:iCs/>
          <w:color w:val="000000" w:themeColor="text1"/>
          <w:sz w:val="22"/>
          <w:szCs w:val="22"/>
        </w:rPr>
        <w:t xml:space="preserve">he cessation liabilities and final deficit will normally be calculated using a </w:t>
      </w:r>
      <w:r w:rsidR="00276D18" w:rsidRPr="00A51DDC">
        <w:rPr>
          <w:rFonts w:asciiTheme="minorHAnsi" w:hAnsiTheme="minorHAnsi" w:cstheme="minorHAnsi"/>
          <w:iCs/>
          <w:color w:val="000000" w:themeColor="text1"/>
          <w:sz w:val="22"/>
          <w:szCs w:val="22"/>
        </w:rPr>
        <w:t>low risk</w:t>
      </w:r>
      <w:r w:rsidR="00B47245" w:rsidRPr="00A51DDC">
        <w:rPr>
          <w:rFonts w:asciiTheme="minorHAnsi" w:hAnsiTheme="minorHAnsi" w:cstheme="minorHAnsi"/>
          <w:iCs/>
          <w:color w:val="000000" w:themeColor="text1"/>
          <w:sz w:val="22"/>
          <w:szCs w:val="22"/>
        </w:rPr>
        <w:t xml:space="preserve"> exit</w:t>
      </w:r>
      <w:r w:rsidR="00276D18" w:rsidRPr="00A51DDC">
        <w:rPr>
          <w:rFonts w:asciiTheme="minorHAnsi" w:hAnsiTheme="minorHAnsi" w:cstheme="minorHAnsi"/>
          <w:iCs/>
          <w:color w:val="000000" w:themeColor="text1"/>
          <w:sz w:val="22"/>
          <w:szCs w:val="22"/>
        </w:rPr>
        <w:t xml:space="preserve"> </w:t>
      </w:r>
      <w:r w:rsidR="009E3676" w:rsidRPr="00A51DDC">
        <w:rPr>
          <w:rFonts w:asciiTheme="minorHAnsi" w:hAnsiTheme="minorHAnsi" w:cstheme="minorHAnsi"/>
          <w:iCs/>
          <w:color w:val="000000" w:themeColor="text1"/>
          <w:sz w:val="22"/>
          <w:szCs w:val="22"/>
        </w:rPr>
        <w:t>basis</w:t>
      </w:r>
      <w:r w:rsidR="005028BD" w:rsidRPr="00A51DDC">
        <w:rPr>
          <w:rFonts w:asciiTheme="minorHAnsi" w:hAnsiTheme="minorHAnsi" w:cstheme="minorHAnsi"/>
          <w:iCs/>
          <w:color w:val="000000" w:themeColor="text1"/>
          <w:sz w:val="22"/>
          <w:szCs w:val="22"/>
        </w:rPr>
        <w:t xml:space="preserve"> </w:t>
      </w:r>
      <w:r w:rsidR="005028BD" w:rsidRPr="00A51DDC">
        <w:rPr>
          <w:rFonts w:asciiTheme="minorHAnsi" w:hAnsiTheme="minorHAnsi" w:cstheme="minorHAnsi"/>
          <w:iCs/>
          <w:sz w:val="22"/>
          <w:szCs w:val="22"/>
        </w:rPr>
        <w:t>as per the Funding Strategy Statement</w:t>
      </w:r>
      <w:r w:rsidR="009E3676" w:rsidRPr="00A51DDC">
        <w:rPr>
          <w:rFonts w:asciiTheme="minorHAnsi" w:hAnsiTheme="minorHAnsi" w:cstheme="minorHAnsi"/>
          <w:iCs/>
          <w:color w:val="000000" w:themeColor="text1"/>
          <w:sz w:val="22"/>
          <w:szCs w:val="22"/>
        </w:rPr>
        <w:t xml:space="preserve">.  If for some reason the </w:t>
      </w:r>
      <w:r w:rsidR="00CC700A" w:rsidRPr="00A51DDC">
        <w:rPr>
          <w:rFonts w:asciiTheme="minorHAnsi" w:hAnsiTheme="minorHAnsi" w:cstheme="minorHAnsi"/>
          <w:iCs/>
          <w:color w:val="000000" w:themeColor="text1"/>
          <w:sz w:val="22"/>
          <w:szCs w:val="22"/>
        </w:rPr>
        <w:t>F</w:t>
      </w:r>
      <w:r w:rsidR="00026509" w:rsidRPr="00A51DDC">
        <w:rPr>
          <w:rFonts w:asciiTheme="minorHAnsi" w:hAnsiTheme="minorHAnsi" w:cstheme="minorHAnsi"/>
          <w:iCs/>
          <w:color w:val="000000" w:themeColor="text1"/>
          <w:sz w:val="22"/>
          <w:szCs w:val="22"/>
        </w:rPr>
        <w:t>und</w:t>
      </w:r>
      <w:r w:rsidR="009E3676" w:rsidRPr="00A51DDC">
        <w:rPr>
          <w:rFonts w:asciiTheme="minorHAnsi" w:hAnsiTheme="minorHAnsi" w:cstheme="minorHAnsi"/>
          <w:iCs/>
          <w:color w:val="000000" w:themeColor="text1"/>
          <w:sz w:val="22"/>
          <w:szCs w:val="22"/>
        </w:rPr>
        <w:t xml:space="preserve"> is not able to recover the full amount of the final </w:t>
      </w:r>
      <w:r w:rsidR="000D3000" w:rsidRPr="00A51DDC">
        <w:rPr>
          <w:rFonts w:asciiTheme="minorHAnsi" w:hAnsiTheme="minorHAnsi" w:cstheme="minorHAnsi"/>
          <w:iCs/>
          <w:color w:val="000000" w:themeColor="text1"/>
          <w:sz w:val="22"/>
          <w:szCs w:val="22"/>
        </w:rPr>
        <w:t>deficit,</w:t>
      </w:r>
      <w:r w:rsidR="009E3676" w:rsidRPr="00A51DDC">
        <w:rPr>
          <w:rFonts w:asciiTheme="minorHAnsi" w:hAnsiTheme="minorHAnsi" w:cstheme="minorHAnsi"/>
          <w:iCs/>
          <w:color w:val="000000" w:themeColor="text1"/>
          <w:sz w:val="22"/>
          <w:szCs w:val="22"/>
        </w:rPr>
        <w:t xml:space="preserve"> then together with any future deficit arising in respect of the membership it will be the responsibility of all the employers in the </w:t>
      </w:r>
      <w:r w:rsidR="00CC700A" w:rsidRPr="00A51DDC">
        <w:rPr>
          <w:rFonts w:asciiTheme="minorHAnsi" w:hAnsiTheme="minorHAnsi" w:cstheme="minorHAnsi"/>
          <w:iCs/>
          <w:color w:val="000000" w:themeColor="text1"/>
          <w:sz w:val="22"/>
          <w:szCs w:val="22"/>
        </w:rPr>
        <w:t>F</w:t>
      </w:r>
      <w:r w:rsidR="00026509" w:rsidRPr="00A51DDC">
        <w:rPr>
          <w:rFonts w:asciiTheme="minorHAnsi" w:hAnsiTheme="minorHAnsi" w:cstheme="minorHAnsi"/>
          <w:iCs/>
          <w:color w:val="000000" w:themeColor="text1"/>
          <w:sz w:val="22"/>
          <w:szCs w:val="22"/>
        </w:rPr>
        <w:t>und</w:t>
      </w:r>
      <w:r w:rsidR="009E3676" w:rsidRPr="00A51DDC">
        <w:rPr>
          <w:rFonts w:asciiTheme="minorHAnsi" w:hAnsiTheme="minorHAnsi" w:cstheme="minorHAnsi"/>
          <w:iCs/>
          <w:color w:val="000000" w:themeColor="text1"/>
          <w:sz w:val="22"/>
          <w:szCs w:val="22"/>
        </w:rPr>
        <w:t>.  In some circumstances, e.g. where employees are transferring to another LGPS employer such as the local authority, an ongoing valuation approach may be adopted for any transferring liabilities.</w:t>
      </w:r>
    </w:p>
    <w:p w14:paraId="748313FD" w14:textId="77777777" w:rsidR="00F01C07" w:rsidRDefault="00F01C07" w:rsidP="00A51DDC">
      <w:pPr>
        <w:pStyle w:val="Heading3Num"/>
        <w:tabs>
          <w:tab w:val="clear" w:pos="2127"/>
        </w:tabs>
        <w:ind w:left="1276" w:hanging="1276"/>
      </w:pPr>
      <w:bookmarkStart w:id="30" w:name="_Toc80875387"/>
      <w:r>
        <w:t>Payment of cessation debt</w:t>
      </w:r>
      <w:bookmarkEnd w:id="30"/>
    </w:p>
    <w:p w14:paraId="63A2C7F8" w14:textId="77777777" w:rsidR="005D5028" w:rsidRPr="00A51DDC" w:rsidRDefault="00204BF1" w:rsidP="00A51DDC">
      <w:pPr>
        <w:spacing w:after="180"/>
        <w:ind w:left="1276"/>
        <w:rPr>
          <w:rFonts w:asciiTheme="minorHAnsi" w:hAnsiTheme="minorHAnsi" w:cstheme="minorHAnsi"/>
          <w:iCs/>
          <w:color w:val="000000" w:themeColor="text1"/>
          <w:sz w:val="22"/>
          <w:szCs w:val="22"/>
        </w:rPr>
      </w:pPr>
      <w:r w:rsidRPr="00A51DDC">
        <w:rPr>
          <w:rFonts w:asciiTheme="minorHAnsi" w:hAnsiTheme="minorHAnsi" w:cstheme="minorHAnsi"/>
          <w:bCs/>
          <w:iCs/>
          <w:color w:val="000000" w:themeColor="text1"/>
          <w:sz w:val="22"/>
          <w:szCs w:val="22"/>
        </w:rPr>
        <w:t>The Fund policy will be to collect this cessation payment by way of an immediate lump sum.</w:t>
      </w:r>
      <w:r w:rsidR="005D5028" w:rsidRPr="00A51DDC">
        <w:rPr>
          <w:rFonts w:asciiTheme="minorHAnsi" w:hAnsiTheme="minorHAnsi" w:cstheme="minorHAnsi"/>
          <w:bCs/>
          <w:iCs/>
          <w:color w:val="000000" w:themeColor="text1"/>
          <w:sz w:val="22"/>
          <w:szCs w:val="22"/>
        </w:rPr>
        <w:t xml:space="preserve"> </w:t>
      </w:r>
      <w:r w:rsidR="005D5028" w:rsidRPr="00A51DDC">
        <w:rPr>
          <w:rFonts w:asciiTheme="minorHAnsi" w:hAnsiTheme="minorHAnsi" w:cstheme="minorHAnsi"/>
          <w:iCs/>
          <w:color w:val="000000" w:themeColor="text1"/>
          <w:sz w:val="22"/>
          <w:szCs w:val="22"/>
        </w:rPr>
        <w:t>The Fund’s normal policy is that the payment is made within 30 days of the employer being notified. The employer may be allowed to spread payment over an extended period where this is agreed by the Head of Pensions and the Section 151 Officer, however, some form of security relating to the unpaid amount may be required: further details are contained in the Funding Strategy Statement.</w:t>
      </w:r>
    </w:p>
    <w:p w14:paraId="76DE670F" w14:textId="77777777" w:rsidR="00FA1742" w:rsidRPr="00A51DDC" w:rsidRDefault="00FA1742" w:rsidP="00A51DDC">
      <w:pPr>
        <w:spacing w:after="180"/>
        <w:ind w:left="1276"/>
        <w:rPr>
          <w:rFonts w:asciiTheme="minorHAnsi" w:hAnsiTheme="minorHAnsi" w:cstheme="minorHAnsi"/>
          <w:iCs/>
          <w:color w:val="000000" w:themeColor="text1"/>
          <w:sz w:val="22"/>
          <w:szCs w:val="22"/>
        </w:rPr>
      </w:pPr>
      <w:r w:rsidRPr="00A51DDC">
        <w:rPr>
          <w:rFonts w:asciiTheme="minorHAnsi" w:hAnsiTheme="minorHAnsi" w:cstheme="minorHAnsi"/>
          <w:iCs/>
          <w:color w:val="000000" w:themeColor="text1"/>
          <w:sz w:val="22"/>
          <w:szCs w:val="22"/>
        </w:rPr>
        <w:t xml:space="preserve">In the case of academies, </w:t>
      </w:r>
      <w:r w:rsidR="0077143F" w:rsidRPr="00A51DDC">
        <w:rPr>
          <w:rFonts w:asciiTheme="minorHAnsi" w:hAnsiTheme="minorHAnsi" w:cstheme="minorHAnsi"/>
          <w:iCs/>
          <w:color w:val="000000" w:themeColor="text1"/>
          <w:sz w:val="22"/>
          <w:szCs w:val="22"/>
        </w:rPr>
        <w:t>it may be possible for the cessation position to be covered either by another academy trust taking on the ceasing school’s assets and liabilities, or by payment of the Department for Education guarantee.</w:t>
      </w:r>
    </w:p>
    <w:p w14:paraId="4D248EDA" w14:textId="77777777" w:rsidR="005D5028" w:rsidRPr="00A51DDC" w:rsidRDefault="005D5028" w:rsidP="00A51DDC">
      <w:pPr>
        <w:spacing w:after="180"/>
        <w:ind w:left="1276"/>
        <w:rPr>
          <w:rFonts w:asciiTheme="minorHAnsi" w:hAnsiTheme="minorHAnsi" w:cstheme="minorHAnsi"/>
          <w:iCs/>
          <w:color w:val="000000" w:themeColor="text1"/>
          <w:sz w:val="22"/>
          <w:szCs w:val="22"/>
        </w:rPr>
      </w:pPr>
      <w:r w:rsidRPr="00A51DDC">
        <w:rPr>
          <w:rFonts w:asciiTheme="minorHAnsi" w:hAnsiTheme="minorHAnsi" w:cstheme="minorHAnsi"/>
          <w:iCs/>
          <w:color w:val="000000" w:themeColor="text1"/>
          <w:sz w:val="22"/>
          <w:szCs w:val="22"/>
        </w:rPr>
        <w:t>Where the cessation debt cannot be repaid by the employer, any outstanding payment, once any bond, indemnity or alternative guarantor has been exhausted, may be recovered by one of the following means:</w:t>
      </w:r>
    </w:p>
    <w:p w14:paraId="0E892A53" w14:textId="77777777" w:rsidR="005D5028" w:rsidRPr="0095040C" w:rsidRDefault="005D5028"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 xml:space="preserve">where the deficit is to be spread amongst all the employers in the fund, the rates and adjustments certificate will allow for any ongoing deficit for departed employers at each triennial valuation, commencing from the first triennial valuation after the body departs (unless the results of that valuation have already been finalised);  </w:t>
      </w:r>
    </w:p>
    <w:p w14:paraId="3F295F8F" w14:textId="204026CD" w:rsidR="005D5028" w:rsidRPr="0095040C" w:rsidRDefault="005D5028" w:rsidP="00EC7ACE">
      <w:pPr>
        <w:pStyle w:val="ListParagraph"/>
        <w:numPr>
          <w:ilvl w:val="0"/>
          <w:numId w:val="7"/>
        </w:numPr>
        <w:spacing w:after="180"/>
        <w:rPr>
          <w:rFonts w:asciiTheme="minorHAnsi" w:hAnsiTheme="minorHAnsi" w:cstheme="minorHAnsi"/>
          <w:iCs/>
          <w:color w:val="auto"/>
          <w:szCs w:val="22"/>
          <w:lang w:val="en-US" w:eastAsia="en-US"/>
        </w:rPr>
      </w:pPr>
      <w:r w:rsidRPr="0095040C">
        <w:rPr>
          <w:rFonts w:asciiTheme="minorHAnsi" w:hAnsiTheme="minorHAnsi" w:cstheme="minorHAnsi"/>
          <w:color w:val="auto"/>
          <w:szCs w:val="22"/>
        </w:rPr>
        <w:t>the approach in the previous bullet may be deferred whilst there are sufficient assets in the</w:t>
      </w:r>
      <w:r w:rsidRPr="0095040C">
        <w:rPr>
          <w:rFonts w:asciiTheme="minorHAnsi" w:hAnsiTheme="minorHAnsi" w:cstheme="minorHAnsi"/>
          <w:iCs/>
          <w:color w:val="auto"/>
          <w:szCs w:val="22"/>
          <w:lang w:val="en-US" w:eastAsia="en-US"/>
        </w:rPr>
        <w:t xml:space="preserve"> ceased employer’s share, to pay benefits to its ex-employees</w:t>
      </w:r>
      <w:r w:rsidR="00FA1742" w:rsidRPr="0095040C">
        <w:rPr>
          <w:rFonts w:asciiTheme="minorHAnsi" w:hAnsiTheme="minorHAnsi" w:cstheme="minorHAnsi"/>
          <w:iCs/>
          <w:color w:val="auto"/>
          <w:szCs w:val="22"/>
          <w:lang w:val="en-US" w:eastAsia="en-US"/>
        </w:rPr>
        <w:t>.</w:t>
      </w:r>
    </w:p>
    <w:p w14:paraId="3143CDA3" w14:textId="3A8C13A6" w:rsidR="00F01C07" w:rsidRPr="00A51DDC" w:rsidRDefault="005D5028" w:rsidP="0095040C">
      <w:pPr>
        <w:spacing w:after="180"/>
        <w:ind w:left="1276"/>
        <w:rPr>
          <w:rFonts w:asciiTheme="minorHAnsi" w:hAnsiTheme="minorHAnsi" w:cstheme="minorHAnsi"/>
          <w:bCs/>
          <w:iCs/>
          <w:color w:val="000000" w:themeColor="text1"/>
          <w:sz w:val="22"/>
          <w:szCs w:val="22"/>
        </w:rPr>
      </w:pPr>
      <w:r w:rsidRPr="0095040C">
        <w:rPr>
          <w:rFonts w:asciiTheme="minorHAnsi" w:hAnsiTheme="minorHAnsi" w:cstheme="minorHAnsi"/>
          <w:iCs/>
          <w:color w:val="000000" w:themeColor="text1"/>
          <w:sz w:val="22"/>
          <w:szCs w:val="22"/>
        </w:rPr>
        <w:t>The administering</w:t>
      </w:r>
      <w:r w:rsidRPr="00A51DDC">
        <w:rPr>
          <w:rFonts w:asciiTheme="minorHAnsi" w:hAnsiTheme="minorHAnsi" w:cstheme="minorHAnsi"/>
          <w:sz w:val="22"/>
          <w:szCs w:val="22"/>
        </w:rPr>
        <w:t xml:space="preserve"> authority will in all cases seek to maximise the monies recoverable and hence minimise the risk of deficit costs being levied on other Fund employers. In exceptional circumstances this may result in an </w:t>
      </w:r>
      <w:r w:rsidR="008C060A" w:rsidRPr="00A51DDC">
        <w:rPr>
          <w:rFonts w:asciiTheme="minorHAnsi" w:hAnsiTheme="minorHAnsi" w:cstheme="minorHAnsi"/>
          <w:iCs/>
          <w:sz w:val="22"/>
          <w:szCs w:val="22"/>
        </w:rPr>
        <w:t>employer</w:t>
      </w:r>
      <w:r w:rsidRPr="00A51DDC">
        <w:rPr>
          <w:rFonts w:asciiTheme="minorHAnsi" w:hAnsiTheme="minorHAnsi" w:cstheme="minorHAnsi"/>
          <w:iCs/>
          <w:sz w:val="22"/>
          <w:szCs w:val="22"/>
        </w:rPr>
        <w:t xml:space="preserve"> paying less than the full cessation deficit. Any such cases will be subject to approval by the Pension Fund Committee.</w:t>
      </w:r>
    </w:p>
    <w:p w14:paraId="2DEF9F52" w14:textId="2EDE82D1" w:rsidR="00204BF1" w:rsidRPr="00F011DE" w:rsidRDefault="00E13105" w:rsidP="00A51DDC">
      <w:pPr>
        <w:pStyle w:val="Heading3Num"/>
        <w:tabs>
          <w:tab w:val="clear" w:pos="2127"/>
          <w:tab w:val="num" w:pos="1418"/>
        </w:tabs>
        <w:ind w:left="1276" w:hanging="1276"/>
      </w:pPr>
      <w:bookmarkStart w:id="31" w:name="_Toc80875388"/>
      <w:r w:rsidRPr="005C57EB">
        <w:t xml:space="preserve">Payment of </w:t>
      </w:r>
      <w:r w:rsidR="00204BF1" w:rsidRPr="00A51DDC">
        <w:t>surplus</w:t>
      </w:r>
      <w:r w:rsidR="00204BF1">
        <w:t xml:space="preserve"> / exit credit</w:t>
      </w:r>
      <w:bookmarkEnd w:id="31"/>
    </w:p>
    <w:p w14:paraId="5CBFE940" w14:textId="1074115F" w:rsidR="005C57EB" w:rsidRPr="00A51DDC" w:rsidRDefault="005C57EB" w:rsidP="00A51DDC">
      <w:pPr>
        <w:spacing w:after="180"/>
        <w:ind w:left="1276"/>
        <w:rPr>
          <w:rFonts w:asciiTheme="minorHAnsi" w:hAnsiTheme="minorHAnsi" w:cstheme="minorHAnsi"/>
          <w:iCs/>
          <w:sz w:val="22"/>
          <w:szCs w:val="22"/>
          <w:lang w:val="en-GB" w:eastAsia="en-GB"/>
        </w:rPr>
      </w:pPr>
      <w:r w:rsidRPr="00A51DDC">
        <w:rPr>
          <w:rFonts w:asciiTheme="minorHAnsi" w:hAnsiTheme="minorHAnsi" w:cstheme="minorHAnsi"/>
          <w:iCs/>
          <w:sz w:val="22"/>
          <w:szCs w:val="22"/>
          <w:lang w:val="en-GB" w:eastAsia="en-GB"/>
        </w:rPr>
        <w:t xml:space="preserve">Where the </w:t>
      </w:r>
      <w:r w:rsidR="006D08EB" w:rsidRPr="00A51DDC">
        <w:rPr>
          <w:rFonts w:asciiTheme="minorHAnsi" w:hAnsiTheme="minorHAnsi" w:cstheme="minorHAnsi"/>
          <w:color w:val="000000" w:themeColor="text1"/>
          <w:sz w:val="22"/>
          <w:szCs w:val="22"/>
        </w:rPr>
        <w:t>Administering Authority</w:t>
      </w:r>
      <w:r w:rsidR="006D08EB" w:rsidRPr="00A51DDC" w:rsidDel="006D08EB">
        <w:rPr>
          <w:rFonts w:asciiTheme="minorHAnsi" w:hAnsiTheme="minorHAnsi" w:cstheme="minorHAnsi"/>
          <w:iCs/>
          <w:sz w:val="22"/>
          <w:szCs w:val="22"/>
          <w:lang w:val="en-GB" w:eastAsia="en-GB"/>
        </w:rPr>
        <w:t xml:space="preserve"> </w:t>
      </w:r>
      <w:r w:rsidRPr="00A51DDC">
        <w:rPr>
          <w:rFonts w:asciiTheme="minorHAnsi" w:hAnsiTheme="minorHAnsi" w:cstheme="minorHAnsi"/>
          <w:iCs/>
          <w:sz w:val="22"/>
          <w:szCs w:val="22"/>
          <w:lang w:val="en-GB" w:eastAsia="en-GB"/>
        </w:rPr>
        <w:t>determines that an exit credit is payable, the Administering Authority will:</w:t>
      </w:r>
    </w:p>
    <w:p w14:paraId="49641BA2" w14:textId="77777777" w:rsidR="005C57EB" w:rsidRPr="0095040C" w:rsidRDefault="005C57EB"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promptly notify the employer – and any other relevant body – of its intention to make a determination as to the value, if any, of any exit credit payable to the employer</w:t>
      </w:r>
    </w:p>
    <w:p w14:paraId="2084F876" w14:textId="77777777" w:rsidR="005C57EB" w:rsidRPr="0095040C" w:rsidRDefault="005C57EB"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revise the rates and adjustments certificate showing the excess of assets over the liabilities as assessed by the actuary</w:t>
      </w:r>
    </w:p>
    <w:p w14:paraId="283C7BD8" w14:textId="77777777" w:rsidR="005C57EB" w:rsidRPr="0095040C" w:rsidRDefault="005C57EB"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make any necessary exit credit payment to an employer within six months of the cessation date (or another date agreed between the Administering Authority and the employer)</w:t>
      </w:r>
    </w:p>
    <w:p w14:paraId="3367D10E" w14:textId="77777777" w:rsidR="005C57EB" w:rsidRPr="0095040C" w:rsidRDefault="005C57EB"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Further details can be found within the Exit Credit Policy and Funding Strategy Statement.</w:t>
      </w:r>
    </w:p>
    <w:p w14:paraId="176EA361" w14:textId="77777777" w:rsidR="00A47409" w:rsidRPr="00A01DE8" w:rsidRDefault="00A47409" w:rsidP="00A01DE8">
      <w:pPr>
        <w:rPr>
          <w:u w:val="single"/>
        </w:rPr>
      </w:pPr>
    </w:p>
    <w:p w14:paraId="0A7E6BED" w14:textId="19E0A7C5" w:rsidR="00D331BB" w:rsidRPr="00A01DE8" w:rsidRDefault="00E13105" w:rsidP="00A51DDC">
      <w:pPr>
        <w:pStyle w:val="Heading2Num"/>
        <w:ind w:hanging="1277"/>
      </w:pPr>
      <w:bookmarkStart w:id="32" w:name="_Toc80875389"/>
      <w:r w:rsidRPr="00A01DE8">
        <w:t xml:space="preserve">Bulk </w:t>
      </w:r>
      <w:r w:rsidR="00CA511F">
        <w:t>t</w:t>
      </w:r>
      <w:r w:rsidRPr="00A51DDC">
        <w:t>ransfers</w:t>
      </w:r>
      <w:bookmarkEnd w:id="32"/>
    </w:p>
    <w:p w14:paraId="2EFF129B" w14:textId="6766DAD9" w:rsidR="00D331BB" w:rsidRPr="00D331BB" w:rsidRDefault="00E13105" w:rsidP="00A51DDC">
      <w:pPr>
        <w:pStyle w:val="Heading3Num"/>
        <w:tabs>
          <w:tab w:val="clear" w:pos="2127"/>
          <w:tab w:val="num" w:pos="1276"/>
        </w:tabs>
        <w:ind w:hanging="2127"/>
        <w:rPr>
          <w:iCs w:val="0"/>
        </w:rPr>
      </w:pPr>
      <w:bookmarkStart w:id="33" w:name="_Toc80875390"/>
      <w:r w:rsidRPr="00A51DDC">
        <w:t>Calculation</w:t>
      </w:r>
      <w:r w:rsidRPr="00D331BB">
        <w:t xml:space="preserve"> of </w:t>
      </w:r>
      <w:r w:rsidR="00CA511F">
        <w:t>b</w:t>
      </w:r>
      <w:r w:rsidRPr="00D331BB">
        <w:t xml:space="preserve">ulk </w:t>
      </w:r>
      <w:r w:rsidR="00CA511F">
        <w:t>t</w:t>
      </w:r>
      <w:r w:rsidRPr="00D331BB">
        <w:t xml:space="preserve">ransfer </w:t>
      </w:r>
      <w:r w:rsidR="007638A0" w:rsidRPr="00D331BB">
        <w:t xml:space="preserve">out of </w:t>
      </w:r>
      <w:r w:rsidR="00D331BB">
        <w:t>the Fund</w:t>
      </w:r>
      <w:bookmarkEnd w:id="33"/>
    </w:p>
    <w:p w14:paraId="0A797DEF" w14:textId="77777777" w:rsidR="00E13105" w:rsidRPr="00565013" w:rsidRDefault="00E13105" w:rsidP="00A51DDC">
      <w:pPr>
        <w:spacing w:after="180"/>
        <w:ind w:left="1276"/>
        <w:rPr>
          <w:rFonts w:asciiTheme="minorHAnsi" w:hAnsiTheme="minorHAnsi" w:cstheme="minorHAnsi"/>
          <w:iCs/>
          <w:sz w:val="22"/>
          <w:szCs w:val="22"/>
        </w:rPr>
      </w:pPr>
      <w:r w:rsidRPr="00565013">
        <w:rPr>
          <w:rFonts w:asciiTheme="minorHAnsi" w:hAnsiTheme="minorHAnsi" w:cstheme="minorHAnsi"/>
          <w:iCs/>
          <w:color w:val="000000" w:themeColor="text1"/>
          <w:sz w:val="22"/>
          <w:szCs w:val="22"/>
        </w:rPr>
        <w:t xml:space="preserve">Payments of bulk transfers from the </w:t>
      </w:r>
      <w:r w:rsidR="00CC700A" w:rsidRPr="00565013">
        <w:rPr>
          <w:rFonts w:asciiTheme="minorHAnsi" w:hAnsiTheme="minorHAnsi" w:cstheme="minorHAnsi"/>
          <w:iCs/>
          <w:color w:val="000000" w:themeColor="text1"/>
          <w:sz w:val="22"/>
          <w:szCs w:val="22"/>
        </w:rPr>
        <w:t>F</w:t>
      </w:r>
      <w:r w:rsidR="00026509" w:rsidRPr="00565013">
        <w:rPr>
          <w:rFonts w:asciiTheme="minorHAnsi" w:hAnsiTheme="minorHAnsi" w:cstheme="minorHAnsi"/>
          <w:iCs/>
          <w:color w:val="000000" w:themeColor="text1"/>
          <w:sz w:val="22"/>
          <w:szCs w:val="22"/>
        </w:rPr>
        <w:t>und</w:t>
      </w:r>
      <w:r w:rsidRPr="00565013">
        <w:rPr>
          <w:rFonts w:asciiTheme="minorHAnsi" w:hAnsiTheme="minorHAnsi" w:cstheme="minorHAnsi"/>
          <w:iCs/>
          <w:color w:val="000000" w:themeColor="text1"/>
          <w:sz w:val="22"/>
          <w:szCs w:val="22"/>
        </w:rPr>
        <w:t xml:space="preserve"> will be carried out in line with the following:</w:t>
      </w:r>
    </w:p>
    <w:p w14:paraId="71E0E115" w14:textId="03615925" w:rsidR="00E13105" w:rsidRPr="0095040C" w:rsidRDefault="00E13105"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 xml:space="preserve">Where the bulk transfer is to a broadly comparable scheme by virtue of a local authority or public sector outsourcing services to </w:t>
      </w:r>
      <w:r w:rsidR="00B1082E" w:rsidRPr="0095040C">
        <w:rPr>
          <w:rFonts w:asciiTheme="minorHAnsi" w:hAnsiTheme="minorHAnsi" w:cstheme="minorHAnsi"/>
          <w:color w:val="auto"/>
          <w:szCs w:val="22"/>
        </w:rPr>
        <w:t xml:space="preserve">an employer fulfilling </w:t>
      </w:r>
      <w:r w:rsidRPr="0095040C">
        <w:rPr>
          <w:rFonts w:asciiTheme="minorHAnsi" w:hAnsiTheme="minorHAnsi" w:cstheme="minorHAnsi"/>
          <w:color w:val="auto"/>
          <w:szCs w:val="22"/>
        </w:rPr>
        <w:t>a contract under the ODPM Code of Practice on Workforce Matters and/or Fair Deal Guidance the transfer payment will represent the full value of the transferring liabilities on the ongoing funding basis, irrespective of the funding level of the transferring</w:t>
      </w:r>
      <w:r w:rsidR="007638A0" w:rsidRPr="00EC7ACE">
        <w:rPr>
          <w:rFonts w:asciiTheme="minorHAnsi" w:hAnsiTheme="minorHAnsi" w:cstheme="minorHAnsi"/>
          <w:color w:val="auto"/>
          <w:szCs w:val="22"/>
        </w:rPr>
        <w:t xml:space="preserve"> awarding authority</w:t>
      </w:r>
      <w:r w:rsidRPr="00EC7ACE">
        <w:rPr>
          <w:rFonts w:asciiTheme="minorHAnsi" w:hAnsiTheme="minorHAnsi" w:cstheme="minorHAnsi"/>
          <w:color w:val="auto"/>
          <w:szCs w:val="22"/>
        </w:rPr>
        <w:t xml:space="preserve">.  In exceptional circumstances, the bulk transfer may be adjusted to reflect specific issues of the transferring employer. </w:t>
      </w:r>
    </w:p>
    <w:p w14:paraId="5B27E9B9" w14:textId="453FF82F" w:rsidR="00450848" w:rsidRPr="0095040C" w:rsidRDefault="00E13105"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In all other circumstances the bulk transfer</w:t>
      </w:r>
      <w:r w:rsidR="00907F96" w:rsidRPr="0095040C">
        <w:rPr>
          <w:rFonts w:asciiTheme="minorHAnsi" w:hAnsiTheme="minorHAnsi" w:cstheme="minorHAnsi"/>
          <w:color w:val="auto"/>
          <w:szCs w:val="22"/>
        </w:rPr>
        <w:t>, calculated on an ongoing basis,</w:t>
      </w:r>
      <w:r w:rsidRPr="0095040C">
        <w:rPr>
          <w:rFonts w:asciiTheme="minorHAnsi" w:hAnsiTheme="minorHAnsi" w:cstheme="minorHAnsi"/>
          <w:color w:val="auto"/>
          <w:szCs w:val="22"/>
        </w:rPr>
        <w:t xml:space="preserve"> will be considered on the merits of the case. Generally</w:t>
      </w:r>
      <w:r w:rsidR="00576533" w:rsidRPr="0095040C">
        <w:rPr>
          <w:rFonts w:asciiTheme="minorHAnsi" w:hAnsiTheme="minorHAnsi" w:cstheme="minorHAnsi"/>
          <w:color w:val="auto"/>
          <w:szCs w:val="22"/>
        </w:rPr>
        <w:t>,</w:t>
      </w:r>
      <w:r w:rsidRPr="0095040C">
        <w:rPr>
          <w:rFonts w:asciiTheme="minorHAnsi" w:hAnsiTheme="minorHAnsi" w:cstheme="minorHAnsi"/>
          <w:color w:val="auto"/>
          <w:szCs w:val="22"/>
        </w:rPr>
        <w:t xml:space="preserve"> </w:t>
      </w:r>
      <w:r w:rsidR="00796E6F" w:rsidRPr="0095040C">
        <w:rPr>
          <w:rFonts w:asciiTheme="minorHAnsi" w:hAnsiTheme="minorHAnsi" w:cstheme="minorHAnsi"/>
          <w:color w:val="auto"/>
          <w:szCs w:val="22"/>
        </w:rPr>
        <w:t xml:space="preserve">the Fund’s </w:t>
      </w:r>
      <w:r w:rsidR="00450848" w:rsidRPr="0095040C">
        <w:rPr>
          <w:rFonts w:asciiTheme="minorHAnsi" w:hAnsiTheme="minorHAnsi" w:cstheme="minorHAnsi"/>
          <w:color w:val="auto"/>
          <w:szCs w:val="22"/>
        </w:rPr>
        <w:t>approach is for</w:t>
      </w:r>
      <w:r w:rsidRPr="0095040C">
        <w:rPr>
          <w:rFonts w:asciiTheme="minorHAnsi" w:hAnsiTheme="minorHAnsi" w:cstheme="minorHAnsi"/>
          <w:color w:val="auto"/>
          <w:szCs w:val="22"/>
        </w:rPr>
        <w:t xml:space="preserve"> </w:t>
      </w:r>
      <w:r w:rsidR="00B10CA2" w:rsidRPr="00EC7ACE">
        <w:rPr>
          <w:rFonts w:asciiTheme="minorHAnsi" w:hAnsiTheme="minorHAnsi" w:cstheme="minorHAnsi"/>
          <w:color w:val="auto"/>
          <w:szCs w:val="22"/>
        </w:rPr>
        <w:t>Government Actuary’s standard CETVs</w:t>
      </w:r>
      <w:r w:rsidRPr="00EC7ACE">
        <w:rPr>
          <w:rFonts w:asciiTheme="minorHAnsi" w:hAnsiTheme="minorHAnsi" w:cstheme="minorHAnsi"/>
          <w:color w:val="auto"/>
          <w:szCs w:val="22"/>
        </w:rPr>
        <w:t xml:space="preserve"> being paid.  </w:t>
      </w:r>
    </w:p>
    <w:p w14:paraId="253E4B3B" w14:textId="4881C649" w:rsidR="00DB1B53" w:rsidRPr="0095040C" w:rsidRDefault="00E13105"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 xml:space="preserve">However, where the transferring employer is leaving the </w:t>
      </w:r>
      <w:r w:rsidR="00CC700A" w:rsidRPr="0095040C">
        <w:rPr>
          <w:rFonts w:asciiTheme="minorHAnsi" w:hAnsiTheme="minorHAnsi" w:cstheme="minorHAnsi"/>
          <w:color w:val="auto"/>
          <w:szCs w:val="22"/>
        </w:rPr>
        <w:t>F</w:t>
      </w:r>
      <w:r w:rsidR="00026509" w:rsidRPr="0095040C">
        <w:rPr>
          <w:rFonts w:asciiTheme="minorHAnsi" w:hAnsiTheme="minorHAnsi" w:cstheme="minorHAnsi"/>
          <w:color w:val="auto"/>
          <w:szCs w:val="22"/>
        </w:rPr>
        <w:t>und</w:t>
      </w:r>
      <w:r w:rsidRPr="0095040C">
        <w:rPr>
          <w:rFonts w:asciiTheme="minorHAnsi" w:hAnsiTheme="minorHAnsi" w:cstheme="minorHAnsi"/>
          <w:color w:val="auto"/>
          <w:szCs w:val="22"/>
        </w:rPr>
        <w:t xml:space="preserve"> </w:t>
      </w:r>
      <w:r w:rsidR="00DD5989" w:rsidRPr="0095040C">
        <w:rPr>
          <w:rFonts w:asciiTheme="minorHAnsi" w:hAnsiTheme="minorHAnsi" w:cstheme="minorHAnsi"/>
          <w:color w:val="auto"/>
          <w:szCs w:val="22"/>
        </w:rPr>
        <w:t>in its entirety</w:t>
      </w:r>
      <w:r w:rsidRPr="0095040C">
        <w:rPr>
          <w:rFonts w:asciiTheme="minorHAnsi" w:hAnsiTheme="minorHAnsi" w:cstheme="minorHAnsi"/>
          <w:color w:val="auto"/>
          <w:szCs w:val="22"/>
        </w:rPr>
        <w:t xml:space="preserve"> (for example </w:t>
      </w:r>
      <w:r w:rsidR="00570692" w:rsidRPr="0095040C">
        <w:rPr>
          <w:rFonts w:asciiTheme="minorHAnsi" w:hAnsiTheme="minorHAnsi" w:cstheme="minorHAnsi"/>
          <w:color w:val="auto"/>
          <w:szCs w:val="22"/>
        </w:rPr>
        <w:t>as part of a reorganisation, or an academy moving to a Multi Academy Trust in another Fund</w:t>
      </w:r>
      <w:r w:rsidRPr="0095040C">
        <w:rPr>
          <w:rFonts w:asciiTheme="minorHAnsi" w:hAnsiTheme="minorHAnsi" w:cstheme="minorHAnsi"/>
          <w:color w:val="auto"/>
          <w:szCs w:val="22"/>
        </w:rPr>
        <w:t xml:space="preserve">), the bulk transfer value paid from the </w:t>
      </w:r>
      <w:r w:rsidR="00CC700A" w:rsidRPr="0095040C">
        <w:rPr>
          <w:rFonts w:asciiTheme="minorHAnsi" w:hAnsiTheme="minorHAnsi" w:cstheme="minorHAnsi"/>
          <w:color w:val="auto"/>
          <w:szCs w:val="22"/>
        </w:rPr>
        <w:t>F</w:t>
      </w:r>
      <w:r w:rsidR="00026509" w:rsidRPr="0095040C">
        <w:rPr>
          <w:rFonts w:asciiTheme="minorHAnsi" w:hAnsiTheme="minorHAnsi" w:cstheme="minorHAnsi"/>
          <w:color w:val="auto"/>
          <w:szCs w:val="22"/>
        </w:rPr>
        <w:t>und</w:t>
      </w:r>
      <w:r w:rsidRPr="0095040C">
        <w:rPr>
          <w:rFonts w:asciiTheme="minorHAnsi" w:hAnsiTheme="minorHAnsi" w:cstheme="minorHAnsi"/>
          <w:color w:val="auto"/>
          <w:szCs w:val="22"/>
        </w:rPr>
        <w:t xml:space="preserve"> should be equivalent to the employer’s share of the assets in the </w:t>
      </w:r>
      <w:r w:rsidR="00CC700A" w:rsidRPr="00EC7ACE">
        <w:rPr>
          <w:rFonts w:asciiTheme="minorHAnsi" w:hAnsiTheme="minorHAnsi" w:cstheme="minorHAnsi"/>
          <w:color w:val="auto"/>
          <w:szCs w:val="22"/>
        </w:rPr>
        <w:t>F</w:t>
      </w:r>
      <w:r w:rsidR="00026509" w:rsidRPr="00EC7ACE">
        <w:rPr>
          <w:rFonts w:asciiTheme="minorHAnsi" w:hAnsiTheme="minorHAnsi" w:cstheme="minorHAnsi"/>
          <w:color w:val="auto"/>
          <w:szCs w:val="22"/>
        </w:rPr>
        <w:t>und</w:t>
      </w:r>
      <w:r w:rsidR="00450848" w:rsidRPr="00EC7ACE">
        <w:rPr>
          <w:rFonts w:asciiTheme="minorHAnsi" w:hAnsiTheme="minorHAnsi" w:cstheme="minorHAnsi"/>
          <w:color w:val="auto"/>
          <w:szCs w:val="22"/>
        </w:rPr>
        <w:t>. In particular</w:t>
      </w:r>
      <w:r w:rsidR="00CA511F" w:rsidRPr="00EC7ACE">
        <w:rPr>
          <w:rFonts w:asciiTheme="minorHAnsi" w:hAnsiTheme="minorHAnsi" w:cstheme="minorHAnsi"/>
          <w:color w:val="auto"/>
          <w:szCs w:val="22"/>
        </w:rPr>
        <w:t>,</w:t>
      </w:r>
      <w:r w:rsidR="00450848" w:rsidRPr="00EC7ACE">
        <w:rPr>
          <w:rFonts w:asciiTheme="minorHAnsi" w:hAnsiTheme="minorHAnsi" w:cstheme="minorHAnsi"/>
          <w:color w:val="auto"/>
          <w:szCs w:val="22"/>
        </w:rPr>
        <w:t xml:space="preserve"> this would apply where all deferred and pensioner members are also transferring (which will typically require a Secretary of State Direction)</w:t>
      </w:r>
      <w:r w:rsidR="00DB1B53" w:rsidRPr="00EC7ACE">
        <w:rPr>
          <w:rFonts w:asciiTheme="minorHAnsi" w:hAnsiTheme="minorHAnsi" w:cstheme="minorHAnsi"/>
          <w:color w:val="auto"/>
          <w:szCs w:val="22"/>
        </w:rPr>
        <w:t>.</w:t>
      </w:r>
    </w:p>
    <w:p w14:paraId="61D8D4EC" w14:textId="6C4BB7A4" w:rsidR="00E13105" w:rsidRPr="0095040C" w:rsidRDefault="00DB1B53"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 xml:space="preserve">If an employer is leaving behind any liabilities (eg deferred and pensioner members) then </w:t>
      </w:r>
      <w:r w:rsidR="00F90999" w:rsidRPr="0095040C">
        <w:rPr>
          <w:rFonts w:asciiTheme="minorHAnsi" w:hAnsiTheme="minorHAnsi" w:cstheme="minorHAnsi"/>
          <w:color w:val="auto"/>
          <w:szCs w:val="22"/>
        </w:rPr>
        <w:t>the bulk transfer value to be paid should be equivalent to the employer’s share of the assets in the Fund</w:t>
      </w:r>
      <w:r w:rsidR="00E13105" w:rsidRPr="0095040C">
        <w:rPr>
          <w:rFonts w:asciiTheme="minorHAnsi" w:hAnsiTheme="minorHAnsi" w:cstheme="minorHAnsi"/>
          <w:color w:val="auto"/>
          <w:szCs w:val="22"/>
        </w:rPr>
        <w:t xml:space="preserve"> less an amount withheld to ensu</w:t>
      </w:r>
      <w:r w:rsidR="00CA511F" w:rsidRPr="0095040C">
        <w:rPr>
          <w:rFonts w:asciiTheme="minorHAnsi" w:hAnsiTheme="minorHAnsi" w:cstheme="minorHAnsi"/>
          <w:color w:val="auto"/>
          <w:szCs w:val="22"/>
        </w:rPr>
        <w:t>re non-transferring liabilities</w:t>
      </w:r>
      <w:r w:rsidR="00E13105" w:rsidRPr="0095040C">
        <w:rPr>
          <w:rFonts w:asciiTheme="minorHAnsi" w:hAnsiTheme="minorHAnsi" w:cstheme="minorHAnsi"/>
          <w:color w:val="auto"/>
          <w:szCs w:val="22"/>
        </w:rPr>
        <w:t xml:space="preserve"> are fully funded on a </w:t>
      </w:r>
      <w:r w:rsidR="00571536" w:rsidRPr="0095040C">
        <w:rPr>
          <w:rFonts w:asciiTheme="minorHAnsi" w:hAnsiTheme="minorHAnsi" w:cstheme="minorHAnsi"/>
          <w:color w:val="auto"/>
          <w:szCs w:val="22"/>
        </w:rPr>
        <w:t xml:space="preserve">low risk exit </w:t>
      </w:r>
      <w:r w:rsidR="00E13105" w:rsidRPr="00EC7ACE">
        <w:rPr>
          <w:rFonts w:asciiTheme="minorHAnsi" w:hAnsiTheme="minorHAnsi" w:cstheme="minorHAnsi"/>
          <w:color w:val="auto"/>
          <w:szCs w:val="22"/>
        </w:rPr>
        <w:t xml:space="preserve">basis.  </w:t>
      </w:r>
    </w:p>
    <w:p w14:paraId="1389902A" w14:textId="77777777" w:rsidR="00E13105" w:rsidRPr="0095040C" w:rsidRDefault="00E13105" w:rsidP="00EC7ACE">
      <w:pPr>
        <w:pStyle w:val="ListParagraph"/>
        <w:numPr>
          <w:ilvl w:val="0"/>
          <w:numId w:val="7"/>
        </w:numPr>
        <w:autoSpaceDE w:val="0"/>
        <w:autoSpaceDN w:val="0"/>
        <w:adjustRightInd w:val="0"/>
        <w:rPr>
          <w:rFonts w:asciiTheme="minorHAnsi" w:hAnsiTheme="minorHAnsi" w:cstheme="minorHAnsi"/>
          <w:color w:val="auto"/>
          <w:szCs w:val="22"/>
        </w:rPr>
      </w:pPr>
      <w:r w:rsidRPr="0095040C">
        <w:rPr>
          <w:rFonts w:asciiTheme="minorHAnsi" w:hAnsiTheme="minorHAnsi" w:cstheme="minorHAnsi"/>
          <w:color w:val="auto"/>
          <w:szCs w:val="22"/>
        </w:rPr>
        <w:t xml:space="preserve">Any shortfall between the bulk transfer payable by the </w:t>
      </w:r>
      <w:r w:rsidR="00CC700A" w:rsidRPr="0095040C">
        <w:rPr>
          <w:rFonts w:asciiTheme="minorHAnsi" w:hAnsiTheme="minorHAnsi" w:cstheme="minorHAnsi"/>
          <w:color w:val="auto"/>
          <w:szCs w:val="22"/>
        </w:rPr>
        <w:t>F</w:t>
      </w:r>
      <w:r w:rsidR="00026509" w:rsidRPr="0095040C">
        <w:rPr>
          <w:rFonts w:asciiTheme="minorHAnsi" w:hAnsiTheme="minorHAnsi" w:cstheme="minorHAnsi"/>
          <w:color w:val="auto"/>
          <w:szCs w:val="22"/>
        </w:rPr>
        <w:t>und</w:t>
      </w:r>
      <w:r w:rsidRPr="0095040C">
        <w:rPr>
          <w:rFonts w:asciiTheme="minorHAnsi" w:hAnsiTheme="minorHAnsi" w:cstheme="minorHAnsi"/>
          <w:color w:val="auto"/>
          <w:szCs w:val="22"/>
        </w:rPr>
        <w:t xml:space="preserve"> and that which the receiving scheme is prepared to accept must be dealt with outside of the </w:t>
      </w:r>
      <w:r w:rsidR="00CC700A" w:rsidRPr="00EC7ACE">
        <w:rPr>
          <w:rFonts w:asciiTheme="minorHAnsi" w:hAnsiTheme="minorHAnsi" w:cstheme="minorHAnsi"/>
          <w:color w:val="auto"/>
          <w:szCs w:val="22"/>
        </w:rPr>
        <w:t>F</w:t>
      </w:r>
      <w:r w:rsidR="00026509" w:rsidRPr="00EC7ACE">
        <w:rPr>
          <w:rFonts w:asciiTheme="minorHAnsi" w:hAnsiTheme="minorHAnsi" w:cstheme="minorHAnsi"/>
          <w:color w:val="auto"/>
          <w:szCs w:val="22"/>
        </w:rPr>
        <w:t>und</w:t>
      </w:r>
      <w:r w:rsidRPr="00EC7ACE">
        <w:rPr>
          <w:rFonts w:asciiTheme="minorHAnsi" w:hAnsiTheme="minorHAnsi" w:cstheme="minorHAnsi"/>
          <w:color w:val="auto"/>
          <w:szCs w:val="22"/>
        </w:rPr>
        <w:t xml:space="preserve">, for example by a top up from the employer to the receiving scheme or through higher ongoing contributions to that scheme.  This will be particularly important where the transferring employer’s participation in the </w:t>
      </w:r>
      <w:r w:rsidR="00CC700A" w:rsidRPr="00EC7ACE">
        <w:rPr>
          <w:rFonts w:asciiTheme="minorHAnsi" w:hAnsiTheme="minorHAnsi" w:cstheme="minorHAnsi"/>
          <w:color w:val="auto"/>
          <w:szCs w:val="22"/>
        </w:rPr>
        <w:t>F</w:t>
      </w:r>
      <w:r w:rsidR="00026509" w:rsidRPr="00EC7ACE">
        <w:rPr>
          <w:rFonts w:asciiTheme="minorHAnsi" w:hAnsiTheme="minorHAnsi" w:cstheme="minorHAnsi"/>
          <w:color w:val="auto"/>
          <w:szCs w:val="22"/>
        </w:rPr>
        <w:t>und</w:t>
      </w:r>
      <w:r w:rsidRPr="00EC7ACE">
        <w:rPr>
          <w:rFonts w:asciiTheme="minorHAnsi" w:hAnsiTheme="minorHAnsi" w:cstheme="minorHAnsi"/>
          <w:color w:val="auto"/>
          <w:szCs w:val="22"/>
        </w:rPr>
        <w:t xml:space="preserve"> is ending and the bulk transfer payment is being reduced to accommodate a cessation valuation in respect of the remaining deferred and pensioner liabilities. </w:t>
      </w:r>
    </w:p>
    <w:p w14:paraId="05F515E7" w14:textId="2A500434" w:rsidR="005243C2" w:rsidRPr="0095040C" w:rsidRDefault="00E13105" w:rsidP="00EC7ACE">
      <w:pPr>
        <w:pStyle w:val="ListParagraph"/>
        <w:numPr>
          <w:ilvl w:val="0"/>
          <w:numId w:val="7"/>
        </w:numPr>
        <w:spacing w:after="180"/>
        <w:rPr>
          <w:rFonts w:asciiTheme="minorHAnsi" w:hAnsiTheme="minorHAnsi" w:cstheme="minorHAnsi"/>
          <w:iCs/>
          <w:color w:val="auto"/>
          <w:szCs w:val="22"/>
          <w:lang w:val="en-US" w:eastAsia="en-US"/>
        </w:rPr>
      </w:pPr>
      <w:r w:rsidRPr="0095040C">
        <w:rPr>
          <w:rFonts w:asciiTheme="minorHAnsi" w:hAnsiTheme="minorHAnsi" w:cstheme="minorHAnsi"/>
          <w:color w:val="auto"/>
          <w:szCs w:val="22"/>
        </w:rPr>
        <w:t xml:space="preserve">Although there is no physical payment to or from the </w:t>
      </w:r>
      <w:r w:rsidR="00CC700A" w:rsidRPr="0095040C">
        <w:rPr>
          <w:rFonts w:asciiTheme="minorHAnsi" w:hAnsiTheme="minorHAnsi" w:cstheme="minorHAnsi"/>
          <w:color w:val="auto"/>
          <w:szCs w:val="22"/>
        </w:rPr>
        <w:t>F</w:t>
      </w:r>
      <w:r w:rsidR="00026509" w:rsidRPr="0095040C">
        <w:rPr>
          <w:rFonts w:asciiTheme="minorHAnsi" w:hAnsiTheme="minorHAnsi" w:cstheme="minorHAnsi"/>
          <w:color w:val="auto"/>
          <w:szCs w:val="22"/>
        </w:rPr>
        <w:t>und</w:t>
      </w:r>
      <w:r w:rsidRPr="0095040C">
        <w:rPr>
          <w:rFonts w:asciiTheme="minorHAnsi" w:hAnsiTheme="minorHAnsi" w:cstheme="minorHAnsi"/>
          <w:color w:val="auto"/>
          <w:szCs w:val="22"/>
        </w:rPr>
        <w:t xml:space="preserve">, transfers between employers within the </w:t>
      </w:r>
      <w:r w:rsidR="00CC700A" w:rsidRPr="0095040C">
        <w:rPr>
          <w:rFonts w:asciiTheme="minorHAnsi" w:hAnsiTheme="minorHAnsi" w:cstheme="minorHAnsi"/>
          <w:color w:val="auto"/>
          <w:szCs w:val="22"/>
        </w:rPr>
        <w:t>F</w:t>
      </w:r>
      <w:r w:rsidR="00026509" w:rsidRPr="0095040C">
        <w:rPr>
          <w:rFonts w:asciiTheme="minorHAnsi" w:hAnsiTheme="minorHAnsi" w:cstheme="minorHAnsi"/>
          <w:color w:val="auto"/>
          <w:szCs w:val="22"/>
        </w:rPr>
        <w:t>und</w:t>
      </w:r>
      <w:r w:rsidRPr="0095040C">
        <w:rPr>
          <w:rFonts w:asciiTheme="minorHAnsi" w:hAnsiTheme="minorHAnsi" w:cstheme="minorHAnsi"/>
          <w:color w:val="auto"/>
          <w:szCs w:val="22"/>
        </w:rPr>
        <w:t xml:space="preserve"> should be treated in the same way as external transfers, particularly for outsourcings to </w:t>
      </w:r>
      <w:r w:rsidR="005377A6" w:rsidRPr="00EC7ACE">
        <w:rPr>
          <w:rFonts w:asciiTheme="minorHAnsi" w:hAnsiTheme="minorHAnsi" w:cstheme="minorHAnsi"/>
          <w:color w:val="auto"/>
          <w:szCs w:val="22"/>
        </w:rPr>
        <w:t xml:space="preserve">employers fulfilling a </w:t>
      </w:r>
      <w:r w:rsidRPr="00EC7ACE">
        <w:rPr>
          <w:rFonts w:asciiTheme="minorHAnsi" w:hAnsiTheme="minorHAnsi" w:cstheme="minorHAnsi"/>
          <w:color w:val="auto"/>
          <w:szCs w:val="22"/>
        </w:rPr>
        <w:t>contract</w:t>
      </w:r>
      <w:r w:rsidR="005377A6" w:rsidRPr="00EC7ACE">
        <w:rPr>
          <w:rFonts w:asciiTheme="minorHAnsi" w:hAnsiTheme="minorHAnsi" w:cstheme="minorHAnsi"/>
          <w:color w:val="auto"/>
          <w:szCs w:val="22"/>
        </w:rPr>
        <w:t>,</w:t>
      </w:r>
      <w:r w:rsidRPr="00EC7ACE">
        <w:rPr>
          <w:rFonts w:asciiTheme="minorHAnsi" w:hAnsiTheme="minorHAnsi" w:cstheme="minorHAnsi"/>
          <w:color w:val="auto"/>
          <w:szCs w:val="22"/>
        </w:rPr>
        <w:t xml:space="preserve"> to ensure a level playing field between those offering a broadly comparable scheme and those proposing to seek admitted body status.  This is to ensure that the level of security offered to the </w:t>
      </w:r>
      <w:r w:rsidRPr="00EC7ACE">
        <w:rPr>
          <w:rFonts w:asciiTheme="minorHAnsi" w:hAnsiTheme="minorHAnsi" w:cstheme="minorHAnsi"/>
          <w:iCs/>
          <w:color w:val="auto"/>
          <w:szCs w:val="22"/>
          <w:lang w:val="en-US" w:eastAsia="en-US"/>
        </w:rPr>
        <w:t xml:space="preserve">remaining employers in the </w:t>
      </w:r>
      <w:r w:rsidR="00CC700A" w:rsidRPr="00EC7ACE">
        <w:rPr>
          <w:rFonts w:asciiTheme="minorHAnsi" w:hAnsiTheme="minorHAnsi" w:cstheme="minorHAnsi"/>
          <w:iCs/>
          <w:color w:val="auto"/>
          <w:szCs w:val="22"/>
          <w:lang w:val="en-US" w:eastAsia="en-US"/>
        </w:rPr>
        <w:t>F</w:t>
      </w:r>
      <w:r w:rsidR="00026509" w:rsidRPr="00EC7ACE">
        <w:rPr>
          <w:rFonts w:asciiTheme="minorHAnsi" w:hAnsiTheme="minorHAnsi" w:cstheme="minorHAnsi"/>
          <w:iCs/>
          <w:color w:val="auto"/>
          <w:szCs w:val="22"/>
          <w:lang w:val="en-US" w:eastAsia="en-US"/>
        </w:rPr>
        <w:t>und</w:t>
      </w:r>
      <w:r w:rsidRPr="00EC7ACE">
        <w:rPr>
          <w:rFonts w:asciiTheme="minorHAnsi" w:hAnsiTheme="minorHAnsi" w:cstheme="minorHAnsi"/>
          <w:iCs/>
          <w:color w:val="auto"/>
          <w:szCs w:val="22"/>
          <w:lang w:val="en-US" w:eastAsia="en-US"/>
        </w:rPr>
        <w:t xml:space="preserve"> is not diminished by reason of the transfer.</w:t>
      </w:r>
    </w:p>
    <w:p w14:paraId="2655F4F1" w14:textId="3E0761C3" w:rsidR="009E3676" w:rsidRPr="007D1394" w:rsidRDefault="00E13105" w:rsidP="002662E6">
      <w:pPr>
        <w:pStyle w:val="Heading3Num"/>
        <w:tabs>
          <w:tab w:val="clear" w:pos="2127"/>
          <w:tab w:val="num" w:pos="1276"/>
        </w:tabs>
        <w:ind w:hanging="2127"/>
      </w:pPr>
      <w:bookmarkStart w:id="34" w:name="_Toc80875391"/>
      <w:r w:rsidRPr="002662E6">
        <w:t>Adjustment</w:t>
      </w:r>
      <w:r w:rsidRPr="007D1394">
        <w:t xml:space="preserve"> to </w:t>
      </w:r>
      <w:r w:rsidR="00D632E9">
        <w:t>t</w:t>
      </w:r>
      <w:r w:rsidRPr="007D1394">
        <w:t xml:space="preserve">ransfer </w:t>
      </w:r>
      <w:r w:rsidR="00D632E9">
        <w:t>p</w:t>
      </w:r>
      <w:r w:rsidRPr="007D1394">
        <w:t xml:space="preserve">ayment </w:t>
      </w:r>
      <w:r w:rsidR="007638A0" w:rsidRPr="007D1394">
        <w:t xml:space="preserve">between </w:t>
      </w:r>
      <w:r w:rsidR="00D632E9">
        <w:t>t</w:t>
      </w:r>
      <w:r w:rsidR="007638A0" w:rsidRPr="007D1394">
        <w:t xml:space="preserve">ransfer </w:t>
      </w:r>
      <w:r w:rsidR="00D632E9">
        <w:t>d</w:t>
      </w:r>
      <w:r w:rsidR="007638A0" w:rsidRPr="007D1394">
        <w:t xml:space="preserve">ate and </w:t>
      </w:r>
      <w:r w:rsidR="00D632E9">
        <w:t>p</w:t>
      </w:r>
      <w:r w:rsidRPr="007D1394">
        <w:t xml:space="preserve">ayment </w:t>
      </w:r>
      <w:r w:rsidR="00D632E9">
        <w:t>d</w:t>
      </w:r>
      <w:r w:rsidRPr="007D1394">
        <w:t>ate</w:t>
      </w:r>
      <w:bookmarkEnd w:id="34"/>
    </w:p>
    <w:p w14:paraId="4AA299F7" w14:textId="77777777" w:rsidR="005243C2" w:rsidRPr="00D632E9" w:rsidRDefault="007638A0" w:rsidP="007D1394">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Normally the transfer value will be calculated as at the date the members transfer their employment (on the Transfer Date); this value is then adjusted until the actual Payment Date, which is </w:t>
      </w:r>
      <w:r w:rsidR="00C27B42" w:rsidRPr="00D632E9">
        <w:rPr>
          <w:rFonts w:asciiTheme="minorHAnsi" w:hAnsiTheme="minorHAnsi" w:cstheme="minorHAnsi"/>
          <w:iCs/>
          <w:color w:val="000000" w:themeColor="text1"/>
          <w:sz w:val="22"/>
          <w:szCs w:val="22"/>
        </w:rPr>
        <w:t>typically</w:t>
      </w:r>
      <w:r w:rsidRPr="00D632E9">
        <w:rPr>
          <w:rFonts w:asciiTheme="minorHAnsi" w:hAnsiTheme="minorHAnsi" w:cstheme="minorHAnsi"/>
          <w:iCs/>
          <w:color w:val="000000" w:themeColor="text1"/>
          <w:sz w:val="22"/>
          <w:szCs w:val="22"/>
        </w:rPr>
        <w:t xml:space="preserve"> some months or years later.</w:t>
      </w:r>
    </w:p>
    <w:p w14:paraId="5AF97F75" w14:textId="77777777" w:rsidR="005243C2" w:rsidRPr="00D632E9" w:rsidRDefault="00CD1BE5" w:rsidP="007D1394">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There is an </w:t>
      </w:r>
      <w:r w:rsidR="00E13105" w:rsidRPr="00D632E9">
        <w:rPr>
          <w:rFonts w:asciiTheme="minorHAnsi" w:hAnsiTheme="minorHAnsi" w:cstheme="minorHAnsi"/>
          <w:iCs/>
          <w:color w:val="000000" w:themeColor="text1"/>
          <w:sz w:val="22"/>
          <w:szCs w:val="22"/>
        </w:rPr>
        <w:t xml:space="preserve">overriding principle of minimising the risk to the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00E13105" w:rsidRPr="00D632E9">
        <w:rPr>
          <w:rFonts w:asciiTheme="minorHAnsi" w:hAnsiTheme="minorHAnsi" w:cstheme="minorHAnsi"/>
          <w:iCs/>
          <w:color w:val="000000" w:themeColor="text1"/>
          <w:sz w:val="22"/>
          <w:szCs w:val="22"/>
        </w:rPr>
        <w:t xml:space="preserve"> of paying out more in the bulk transfer than the Fund holds in assets which are attributable to the transferring liabilities</w:t>
      </w:r>
      <w:r w:rsidR="00026509" w:rsidRPr="00D632E9">
        <w:rPr>
          <w:rFonts w:asciiTheme="minorHAnsi" w:hAnsiTheme="minorHAnsi" w:cstheme="minorHAnsi"/>
          <w:iCs/>
          <w:color w:val="000000" w:themeColor="text1"/>
          <w:sz w:val="22"/>
          <w:szCs w:val="22"/>
        </w:rPr>
        <w:t>. Consequently</w:t>
      </w:r>
      <w:r w:rsidR="00E13105" w:rsidRPr="00D632E9">
        <w:rPr>
          <w:rFonts w:asciiTheme="minorHAnsi" w:hAnsiTheme="minorHAnsi" w:cstheme="minorHAnsi"/>
          <w:iCs/>
          <w:color w:val="000000" w:themeColor="text1"/>
          <w:sz w:val="22"/>
          <w:szCs w:val="22"/>
        </w:rPr>
        <w:t xml:space="preserve">, the most appropriate adjustment would be to use the actual returns achieved on the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00E13105" w:rsidRPr="00D632E9">
        <w:rPr>
          <w:rFonts w:asciiTheme="minorHAnsi" w:hAnsiTheme="minorHAnsi" w:cstheme="minorHAnsi"/>
          <w:iCs/>
          <w:color w:val="000000" w:themeColor="text1"/>
          <w:sz w:val="22"/>
          <w:szCs w:val="22"/>
        </w:rPr>
        <w:t>’s assets over the appropriate period.</w:t>
      </w:r>
    </w:p>
    <w:p w14:paraId="309B8678" w14:textId="11F2865F" w:rsidR="005243C2" w:rsidRPr="00D632E9" w:rsidRDefault="00E13105" w:rsidP="007D1394">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There are a number of practical difficulties associated with this, not least the fact that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Pr="00D632E9">
        <w:rPr>
          <w:rFonts w:asciiTheme="minorHAnsi" w:hAnsiTheme="minorHAnsi" w:cstheme="minorHAnsi"/>
          <w:iCs/>
          <w:color w:val="000000" w:themeColor="text1"/>
          <w:sz w:val="22"/>
          <w:szCs w:val="22"/>
        </w:rPr>
        <w:t xml:space="preserve"> returns are typically only available on a quarterly basis and there is a lag between the quarter end and the availability of the return information.  As a result, an approximation is usually required</w:t>
      </w:r>
      <w:r w:rsidR="00CD1BE5" w:rsidRPr="00D632E9">
        <w:rPr>
          <w:rFonts w:asciiTheme="minorHAnsi" w:hAnsiTheme="minorHAnsi" w:cstheme="minorHAnsi"/>
          <w:iCs/>
          <w:color w:val="000000" w:themeColor="text1"/>
          <w:sz w:val="22"/>
          <w:szCs w:val="22"/>
        </w:rPr>
        <w:t xml:space="preserve"> for part of the period, which </w:t>
      </w:r>
      <w:r w:rsidRPr="00D632E9">
        <w:rPr>
          <w:rFonts w:asciiTheme="minorHAnsi" w:hAnsiTheme="minorHAnsi" w:cstheme="minorHAnsi"/>
          <w:iCs/>
          <w:color w:val="000000" w:themeColor="text1"/>
          <w:sz w:val="22"/>
          <w:szCs w:val="22"/>
        </w:rPr>
        <w:t>will typically take the form of</w:t>
      </w:r>
      <w:r w:rsidR="006A1A1A" w:rsidRPr="00D632E9">
        <w:rPr>
          <w:rFonts w:asciiTheme="minorHAnsi" w:hAnsiTheme="minorHAnsi" w:cstheme="minorHAnsi"/>
          <w:iCs/>
          <w:color w:val="000000" w:themeColor="text1"/>
          <w:sz w:val="22"/>
          <w:szCs w:val="22"/>
        </w:rPr>
        <w:t>:</w:t>
      </w:r>
      <w:r w:rsidR="006A1A1A" w:rsidRPr="00D632E9">
        <w:rPr>
          <w:rFonts w:asciiTheme="minorHAnsi" w:hAnsiTheme="minorHAnsi" w:cstheme="minorHAnsi"/>
          <w:iCs/>
          <w:color w:val="000000" w:themeColor="text1"/>
          <w:sz w:val="22"/>
          <w:szCs w:val="22"/>
        </w:rPr>
        <w:br/>
        <w:t>(a)</w:t>
      </w:r>
      <w:r w:rsidRPr="00D632E9">
        <w:rPr>
          <w:rFonts w:asciiTheme="minorHAnsi" w:hAnsiTheme="minorHAnsi" w:cstheme="minorHAnsi"/>
          <w:iCs/>
          <w:color w:val="000000" w:themeColor="text1"/>
          <w:sz w:val="22"/>
          <w:szCs w:val="22"/>
        </w:rPr>
        <w:t xml:space="preserve"> applying index returns in line with the benchmark agreed at the time of the bulk transfer</w:t>
      </w:r>
      <w:r w:rsidR="006A1A1A" w:rsidRPr="00D632E9">
        <w:rPr>
          <w:rFonts w:asciiTheme="minorHAnsi" w:hAnsiTheme="minorHAnsi" w:cstheme="minorHAnsi"/>
          <w:iCs/>
          <w:color w:val="000000" w:themeColor="text1"/>
          <w:sz w:val="22"/>
          <w:szCs w:val="22"/>
        </w:rPr>
        <w:t>, and/or</w:t>
      </w:r>
      <w:r w:rsidR="006A1A1A" w:rsidRPr="00D632E9">
        <w:rPr>
          <w:rFonts w:asciiTheme="minorHAnsi" w:hAnsiTheme="minorHAnsi" w:cstheme="minorHAnsi"/>
          <w:iCs/>
          <w:color w:val="000000" w:themeColor="text1"/>
          <w:sz w:val="22"/>
          <w:szCs w:val="22"/>
        </w:rPr>
        <w:br/>
        <w:t>(b) applying implied returns from monthly asset values</w:t>
      </w:r>
      <w:r w:rsidRPr="00D632E9">
        <w:rPr>
          <w:rFonts w:asciiTheme="minorHAnsi" w:hAnsiTheme="minorHAnsi" w:cstheme="minorHAnsi"/>
          <w:iCs/>
          <w:color w:val="000000" w:themeColor="text1"/>
          <w:sz w:val="22"/>
          <w:szCs w:val="22"/>
        </w:rPr>
        <w:t>.</w:t>
      </w:r>
      <w:r w:rsidR="00087721" w:rsidRPr="00D632E9">
        <w:rPr>
          <w:rFonts w:asciiTheme="minorHAnsi" w:hAnsiTheme="minorHAnsi" w:cstheme="minorHAnsi"/>
          <w:iCs/>
          <w:color w:val="000000" w:themeColor="text1"/>
          <w:sz w:val="22"/>
          <w:szCs w:val="22"/>
        </w:rPr>
        <w:br/>
      </w:r>
      <w:r w:rsidR="00087721" w:rsidRPr="00D632E9">
        <w:rPr>
          <w:rFonts w:asciiTheme="minorHAnsi" w:hAnsiTheme="minorHAnsi" w:cstheme="minorHAnsi"/>
          <w:iCs/>
          <w:color w:val="000000" w:themeColor="text1"/>
          <w:sz w:val="22"/>
          <w:szCs w:val="22"/>
        </w:rPr>
        <w:br/>
      </w:r>
      <w:r w:rsidR="00576533" w:rsidRPr="00D632E9">
        <w:rPr>
          <w:rFonts w:asciiTheme="minorHAnsi" w:hAnsiTheme="minorHAnsi" w:cstheme="minorHAnsi"/>
          <w:iCs/>
          <w:color w:val="000000" w:themeColor="text1"/>
          <w:sz w:val="22"/>
          <w:szCs w:val="22"/>
        </w:rPr>
        <w:t xml:space="preserve">It may </w:t>
      </w:r>
      <w:r w:rsidR="004730DD" w:rsidRPr="00D632E9">
        <w:rPr>
          <w:rFonts w:asciiTheme="minorHAnsi" w:hAnsiTheme="minorHAnsi" w:cstheme="minorHAnsi"/>
          <w:iCs/>
          <w:color w:val="000000" w:themeColor="text1"/>
          <w:sz w:val="22"/>
          <w:szCs w:val="22"/>
        </w:rPr>
        <w:t xml:space="preserve">subsequently </w:t>
      </w:r>
      <w:r w:rsidR="00576533" w:rsidRPr="00D632E9">
        <w:rPr>
          <w:rFonts w:asciiTheme="minorHAnsi" w:hAnsiTheme="minorHAnsi" w:cstheme="minorHAnsi"/>
          <w:iCs/>
          <w:color w:val="000000" w:themeColor="text1"/>
          <w:sz w:val="22"/>
          <w:szCs w:val="22"/>
        </w:rPr>
        <w:t>be agreed between both parties to carry out a “true-up” exercise whereby</w:t>
      </w:r>
      <w:r w:rsidR="004730DD" w:rsidRPr="00D632E9">
        <w:rPr>
          <w:rFonts w:asciiTheme="minorHAnsi" w:hAnsiTheme="minorHAnsi" w:cstheme="minorHAnsi"/>
          <w:iCs/>
          <w:color w:val="000000" w:themeColor="text1"/>
          <w:sz w:val="22"/>
          <w:szCs w:val="22"/>
        </w:rPr>
        <w:t xml:space="preserve"> </w:t>
      </w:r>
      <w:r w:rsidR="00576533" w:rsidRPr="00D632E9">
        <w:rPr>
          <w:rFonts w:asciiTheme="minorHAnsi" w:hAnsiTheme="minorHAnsi" w:cstheme="minorHAnsi"/>
          <w:iCs/>
          <w:color w:val="000000" w:themeColor="text1"/>
          <w:sz w:val="22"/>
          <w:szCs w:val="22"/>
        </w:rPr>
        <w:t xml:space="preserve">the original payment </w:t>
      </w:r>
      <w:r w:rsidR="004730DD" w:rsidRPr="00D632E9">
        <w:rPr>
          <w:rFonts w:asciiTheme="minorHAnsi" w:hAnsiTheme="minorHAnsi" w:cstheme="minorHAnsi"/>
          <w:iCs/>
          <w:color w:val="000000" w:themeColor="text1"/>
          <w:sz w:val="22"/>
          <w:szCs w:val="22"/>
        </w:rPr>
        <w:t xml:space="preserve">amount is updated to reflect Fund returns to the Payment Date (when they become available), the difference between the original amount and the revised amount is settled between the two parties. </w:t>
      </w:r>
    </w:p>
    <w:p w14:paraId="598270B3" w14:textId="2019A449" w:rsidR="009E3676" w:rsidRPr="00D632E9" w:rsidRDefault="00E13105" w:rsidP="007D1394">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Where the bulk transfer is between </w:t>
      </w:r>
      <w:r w:rsidR="00087721" w:rsidRPr="00D632E9">
        <w:rPr>
          <w:rFonts w:asciiTheme="minorHAnsi" w:hAnsiTheme="minorHAnsi" w:cstheme="minorHAnsi"/>
          <w:iCs/>
          <w:color w:val="000000" w:themeColor="text1"/>
          <w:sz w:val="22"/>
          <w:szCs w:val="22"/>
        </w:rPr>
        <w:t xml:space="preserve">two </w:t>
      </w:r>
      <w:r w:rsidRPr="00D632E9">
        <w:rPr>
          <w:rFonts w:asciiTheme="minorHAnsi" w:hAnsiTheme="minorHAnsi" w:cstheme="minorHAnsi"/>
          <w:iCs/>
          <w:color w:val="000000" w:themeColor="text1"/>
          <w:sz w:val="22"/>
          <w:szCs w:val="22"/>
        </w:rPr>
        <w:t xml:space="preserve">employers in the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Pr="00D632E9">
        <w:rPr>
          <w:rFonts w:asciiTheme="minorHAnsi" w:hAnsiTheme="minorHAnsi" w:cstheme="minorHAnsi"/>
          <w:iCs/>
          <w:color w:val="000000" w:themeColor="text1"/>
          <w:sz w:val="22"/>
          <w:szCs w:val="22"/>
        </w:rPr>
        <w:t xml:space="preserve">, the notional transfer of assets is assumed to occur on the transfer date so there is no need to specify </w:t>
      </w:r>
      <w:r w:rsidR="00CD1BE5" w:rsidRPr="00D632E9">
        <w:rPr>
          <w:rFonts w:asciiTheme="minorHAnsi" w:hAnsiTheme="minorHAnsi" w:cstheme="minorHAnsi"/>
          <w:iCs/>
          <w:color w:val="000000" w:themeColor="text1"/>
          <w:sz w:val="22"/>
          <w:szCs w:val="22"/>
        </w:rPr>
        <w:t xml:space="preserve">such </w:t>
      </w:r>
      <w:r w:rsidRPr="00D632E9">
        <w:rPr>
          <w:rFonts w:asciiTheme="minorHAnsi" w:hAnsiTheme="minorHAnsi" w:cstheme="minorHAnsi"/>
          <w:iCs/>
          <w:color w:val="000000" w:themeColor="text1"/>
          <w:sz w:val="22"/>
          <w:szCs w:val="22"/>
        </w:rPr>
        <w:t>an adjustment</w:t>
      </w:r>
      <w:r w:rsidR="006700A5" w:rsidRPr="00D632E9">
        <w:rPr>
          <w:rFonts w:asciiTheme="minorHAnsi" w:hAnsiTheme="minorHAnsi" w:cstheme="minorHAnsi"/>
          <w:iCs/>
          <w:color w:val="000000" w:themeColor="text1"/>
          <w:sz w:val="22"/>
          <w:szCs w:val="22"/>
        </w:rPr>
        <w:t>.</w:t>
      </w:r>
      <w:r w:rsidRPr="00D632E9">
        <w:rPr>
          <w:rFonts w:asciiTheme="minorHAnsi" w:hAnsiTheme="minorHAnsi" w:cstheme="minorHAnsi"/>
          <w:iCs/>
          <w:color w:val="000000" w:themeColor="text1"/>
          <w:sz w:val="22"/>
          <w:szCs w:val="22"/>
        </w:rPr>
        <w:t xml:space="preserve"> </w:t>
      </w:r>
    </w:p>
    <w:p w14:paraId="5C5F3226" w14:textId="19C1B9AC" w:rsidR="00E13105" w:rsidRPr="005243C2" w:rsidRDefault="00E13105" w:rsidP="00D632E9">
      <w:pPr>
        <w:pStyle w:val="Heading3Num"/>
        <w:tabs>
          <w:tab w:val="clear" w:pos="2127"/>
        </w:tabs>
        <w:ind w:left="1276" w:hanging="1276"/>
      </w:pPr>
      <w:bookmarkStart w:id="35" w:name="_Toc80875392"/>
      <w:r w:rsidRPr="005243C2">
        <w:t xml:space="preserve">Format of </w:t>
      </w:r>
      <w:r w:rsidR="00D632E9">
        <w:t>b</w:t>
      </w:r>
      <w:r w:rsidRPr="005243C2">
        <w:t xml:space="preserve">ulk </w:t>
      </w:r>
      <w:r w:rsidR="00D632E9">
        <w:t>t</w:t>
      </w:r>
      <w:r w:rsidRPr="00D632E9">
        <w:t>ransfer</w:t>
      </w:r>
      <w:bookmarkEnd w:id="35"/>
      <w:r w:rsidRPr="005243C2">
        <w:t xml:space="preserve"> </w:t>
      </w:r>
    </w:p>
    <w:p w14:paraId="4B13D2F1" w14:textId="77777777" w:rsidR="00E13105" w:rsidRPr="00D632E9" w:rsidRDefault="00E13105" w:rsidP="00D632E9">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The type of payment will usually be in cash but is at the discretion of </w:t>
      </w:r>
      <w:r w:rsidR="00087721" w:rsidRPr="00D632E9">
        <w:rPr>
          <w:rFonts w:asciiTheme="minorHAnsi" w:hAnsiTheme="minorHAnsi" w:cstheme="minorHAnsi"/>
          <w:iCs/>
          <w:color w:val="000000" w:themeColor="text1"/>
          <w:sz w:val="22"/>
          <w:szCs w:val="22"/>
        </w:rPr>
        <w:t xml:space="preserve">the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Pr="00D632E9">
        <w:rPr>
          <w:rFonts w:asciiTheme="minorHAnsi" w:hAnsiTheme="minorHAnsi" w:cstheme="minorHAnsi"/>
          <w:iCs/>
          <w:color w:val="000000" w:themeColor="text1"/>
          <w:sz w:val="22"/>
          <w:szCs w:val="22"/>
        </w:rPr>
        <w:t xml:space="preserve">, to be decided by the Section 151 Officer.  A deduction to the bulk transfer will be made for any administration, legal and transaction costs incurred by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Pr="00D632E9">
        <w:rPr>
          <w:rFonts w:asciiTheme="minorHAnsi" w:hAnsiTheme="minorHAnsi" w:cstheme="minorHAnsi"/>
          <w:iCs/>
          <w:color w:val="000000" w:themeColor="text1"/>
          <w:sz w:val="22"/>
          <w:szCs w:val="22"/>
        </w:rPr>
        <w:t xml:space="preserve"> as a result of having to disinvest any assets to meet the form of payment that suits the receiving scheme.</w:t>
      </w:r>
    </w:p>
    <w:p w14:paraId="5290510D" w14:textId="2DD0BBFA" w:rsidR="00883C76" w:rsidRPr="005243C2" w:rsidRDefault="00883C76" w:rsidP="00D632E9">
      <w:pPr>
        <w:pStyle w:val="Heading3Num"/>
        <w:tabs>
          <w:tab w:val="clear" w:pos="2127"/>
          <w:tab w:val="num" w:pos="1276"/>
        </w:tabs>
        <w:ind w:hanging="2127"/>
      </w:pPr>
      <w:bookmarkStart w:id="36" w:name="_Toc80875393"/>
      <w:r w:rsidRPr="005243C2">
        <w:t xml:space="preserve">Bulk </w:t>
      </w:r>
      <w:r w:rsidR="00D632E9">
        <w:t>t</w:t>
      </w:r>
      <w:r w:rsidRPr="00D632E9">
        <w:t>ransfers</w:t>
      </w:r>
      <w:r w:rsidRPr="005243C2">
        <w:t xml:space="preserve"> </w:t>
      </w:r>
      <w:r w:rsidR="00D632E9">
        <w:t>i</w:t>
      </w:r>
      <w:r w:rsidRPr="005243C2">
        <w:t>n</w:t>
      </w:r>
      <w:bookmarkEnd w:id="36"/>
    </w:p>
    <w:p w14:paraId="05822FFA" w14:textId="22AC4A93" w:rsidR="005243C2" w:rsidRPr="00D632E9" w:rsidRDefault="00883C76" w:rsidP="00D632E9">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The </w:t>
      </w:r>
      <w:r w:rsidR="00ED7F8E" w:rsidRPr="00D632E9">
        <w:rPr>
          <w:rFonts w:asciiTheme="minorHAnsi" w:hAnsiTheme="minorHAnsi" w:cstheme="minorHAnsi"/>
          <w:color w:val="000000" w:themeColor="text1"/>
          <w:sz w:val="22"/>
          <w:szCs w:val="22"/>
        </w:rPr>
        <w:t>Administering Authority</w:t>
      </w:r>
      <w:r w:rsidR="00ED7F8E" w:rsidRPr="00D632E9" w:rsidDel="00ED7F8E">
        <w:rPr>
          <w:rFonts w:asciiTheme="minorHAnsi" w:hAnsiTheme="minorHAnsi" w:cstheme="minorHAnsi"/>
          <w:iCs/>
          <w:color w:val="000000" w:themeColor="text1"/>
          <w:sz w:val="22"/>
          <w:szCs w:val="22"/>
        </w:rPr>
        <w:t xml:space="preserve"> </w:t>
      </w:r>
      <w:r w:rsidRPr="00D632E9">
        <w:rPr>
          <w:rFonts w:asciiTheme="minorHAnsi" w:hAnsiTheme="minorHAnsi" w:cstheme="minorHAnsi"/>
          <w:iCs/>
          <w:color w:val="000000" w:themeColor="text1"/>
          <w:sz w:val="22"/>
          <w:szCs w:val="22"/>
        </w:rPr>
        <w:t xml:space="preserve">will expect all bulk transfers in to be sufficient to meet the value of the accrued benefits on ongoing valuation assumptions (i.e. the </w:t>
      </w:r>
      <w:r w:rsidR="00CC700A" w:rsidRPr="00D632E9">
        <w:rPr>
          <w:rFonts w:asciiTheme="minorHAnsi" w:hAnsiTheme="minorHAnsi" w:cstheme="minorHAnsi"/>
          <w:iCs/>
          <w:color w:val="000000" w:themeColor="text1"/>
          <w:sz w:val="22"/>
          <w:szCs w:val="22"/>
        </w:rPr>
        <w:t>F</w:t>
      </w:r>
      <w:r w:rsidR="00026509" w:rsidRPr="00D632E9">
        <w:rPr>
          <w:rFonts w:asciiTheme="minorHAnsi" w:hAnsiTheme="minorHAnsi" w:cstheme="minorHAnsi"/>
          <w:iCs/>
          <w:color w:val="000000" w:themeColor="text1"/>
          <w:sz w:val="22"/>
          <w:szCs w:val="22"/>
        </w:rPr>
        <w:t>und</w:t>
      </w:r>
      <w:r w:rsidRPr="00D632E9">
        <w:rPr>
          <w:rFonts w:asciiTheme="minorHAnsi" w:hAnsiTheme="minorHAnsi" w:cstheme="minorHAnsi"/>
          <w:iCs/>
          <w:color w:val="000000" w:themeColor="text1"/>
          <w:sz w:val="22"/>
          <w:szCs w:val="22"/>
        </w:rPr>
        <w:t xml:space="preserve">’s funding basis) applicable at the transfer date.  </w:t>
      </w:r>
    </w:p>
    <w:p w14:paraId="6E772B89" w14:textId="4CA9E624" w:rsidR="005243C2" w:rsidRPr="00D632E9" w:rsidRDefault="00883C76" w:rsidP="00D632E9">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There may be situations where the transfer amount accepted is less than the benchmark outlined above, in which case the receiving employer will be required to fund this deficit. </w:t>
      </w:r>
    </w:p>
    <w:p w14:paraId="6CCE1CEE" w14:textId="712CC925" w:rsidR="00883C76" w:rsidRPr="00D632E9" w:rsidRDefault="00883C76" w:rsidP="00D632E9">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Depending on the strength of covenant of the receiving employer and the significance of the shortfall, any such shortfall will be met by either a lump sum payment or through increases to its ongoing contribution rate at the point the transfer is made or at the next funding valuation.  </w:t>
      </w:r>
    </w:p>
    <w:p w14:paraId="3A38C189" w14:textId="77777777" w:rsidR="00883C76" w:rsidRPr="005243C2" w:rsidRDefault="00883C76" w:rsidP="00D632E9">
      <w:pPr>
        <w:pStyle w:val="Heading3Num"/>
        <w:tabs>
          <w:tab w:val="clear" w:pos="2127"/>
          <w:tab w:val="num" w:pos="1276"/>
        </w:tabs>
        <w:ind w:hanging="2127"/>
      </w:pPr>
      <w:bookmarkStart w:id="37" w:name="_Toc80875394"/>
      <w:r w:rsidRPr="005243C2">
        <w:t xml:space="preserve">Approval </w:t>
      </w:r>
      <w:r w:rsidRPr="00D632E9">
        <w:t>process</w:t>
      </w:r>
      <w:r w:rsidRPr="005243C2">
        <w:t xml:space="preserve"> for paying or receiving a bulk transfer</w:t>
      </w:r>
      <w:bookmarkEnd w:id="37"/>
    </w:p>
    <w:p w14:paraId="2E656DFA" w14:textId="079AA13A" w:rsidR="00883C76" w:rsidRPr="00D632E9" w:rsidRDefault="00026509" w:rsidP="00D632E9">
      <w:pPr>
        <w:spacing w:after="180"/>
        <w:ind w:left="1276"/>
        <w:rPr>
          <w:rFonts w:asciiTheme="minorHAnsi" w:hAnsiTheme="minorHAnsi" w:cstheme="minorHAnsi"/>
          <w:iCs/>
          <w:color w:val="000000" w:themeColor="text1"/>
          <w:sz w:val="22"/>
          <w:szCs w:val="22"/>
        </w:rPr>
      </w:pPr>
      <w:r w:rsidRPr="00D632E9">
        <w:rPr>
          <w:rFonts w:asciiTheme="minorHAnsi" w:hAnsiTheme="minorHAnsi" w:cstheme="minorHAnsi"/>
          <w:iCs/>
          <w:color w:val="000000" w:themeColor="text1"/>
          <w:sz w:val="22"/>
          <w:szCs w:val="22"/>
        </w:rPr>
        <w:t xml:space="preserve">The </w:t>
      </w:r>
      <w:r w:rsidR="00ED7F8E" w:rsidRPr="00D632E9">
        <w:rPr>
          <w:rFonts w:asciiTheme="minorHAnsi" w:hAnsiTheme="minorHAnsi" w:cstheme="minorHAnsi"/>
          <w:color w:val="000000" w:themeColor="text1"/>
          <w:sz w:val="22"/>
          <w:szCs w:val="22"/>
        </w:rPr>
        <w:t>Administering Authority</w:t>
      </w:r>
      <w:r w:rsidR="00ED7F8E" w:rsidRPr="00D632E9" w:rsidDel="00ED7F8E">
        <w:rPr>
          <w:rFonts w:asciiTheme="minorHAnsi" w:hAnsiTheme="minorHAnsi" w:cstheme="minorHAnsi"/>
          <w:iCs/>
          <w:color w:val="000000" w:themeColor="text1"/>
          <w:sz w:val="22"/>
          <w:szCs w:val="22"/>
        </w:rPr>
        <w:t xml:space="preserve"> </w:t>
      </w:r>
      <w:r w:rsidR="00883C76" w:rsidRPr="00D632E9">
        <w:rPr>
          <w:rFonts w:asciiTheme="minorHAnsi" w:hAnsiTheme="minorHAnsi" w:cstheme="minorHAnsi"/>
          <w:iCs/>
          <w:color w:val="000000" w:themeColor="text1"/>
          <w:sz w:val="22"/>
          <w:szCs w:val="22"/>
        </w:rPr>
        <w:t xml:space="preserve">will normally agree to bulk transfers into or out of the Fund where this policy is adhered to.  However, all bulk transfers into or out of the </w:t>
      </w:r>
      <w:r w:rsidR="00CC700A" w:rsidRPr="00D632E9">
        <w:rPr>
          <w:rFonts w:asciiTheme="minorHAnsi" w:hAnsiTheme="minorHAnsi" w:cstheme="minorHAnsi"/>
          <w:iCs/>
          <w:color w:val="000000" w:themeColor="text1"/>
          <w:sz w:val="22"/>
          <w:szCs w:val="22"/>
        </w:rPr>
        <w:t>F</w:t>
      </w:r>
      <w:r w:rsidRPr="00D632E9">
        <w:rPr>
          <w:rFonts w:asciiTheme="minorHAnsi" w:hAnsiTheme="minorHAnsi" w:cstheme="minorHAnsi"/>
          <w:iCs/>
          <w:color w:val="000000" w:themeColor="text1"/>
          <w:sz w:val="22"/>
          <w:szCs w:val="22"/>
        </w:rPr>
        <w:t>und</w:t>
      </w:r>
      <w:r w:rsidR="00883C76" w:rsidRPr="00D632E9">
        <w:rPr>
          <w:rFonts w:asciiTheme="minorHAnsi" w:hAnsiTheme="minorHAnsi" w:cstheme="minorHAnsi"/>
          <w:iCs/>
          <w:color w:val="000000" w:themeColor="text1"/>
          <w:sz w:val="22"/>
          <w:szCs w:val="22"/>
        </w:rPr>
        <w:t xml:space="preserve"> will be put to the Pension Fund </w:t>
      </w:r>
      <w:r w:rsidR="00CD1BE5" w:rsidRPr="00D632E9">
        <w:rPr>
          <w:rFonts w:asciiTheme="minorHAnsi" w:hAnsiTheme="minorHAnsi" w:cstheme="minorHAnsi"/>
          <w:iCs/>
          <w:color w:val="000000" w:themeColor="text1"/>
          <w:sz w:val="22"/>
          <w:szCs w:val="22"/>
        </w:rPr>
        <w:t xml:space="preserve">Committee </w:t>
      </w:r>
      <w:r w:rsidR="00883C76" w:rsidRPr="00D632E9">
        <w:rPr>
          <w:rFonts w:asciiTheme="minorHAnsi" w:hAnsiTheme="minorHAnsi" w:cstheme="minorHAnsi"/>
          <w:iCs/>
          <w:color w:val="000000" w:themeColor="text1"/>
          <w:sz w:val="22"/>
          <w:szCs w:val="22"/>
        </w:rPr>
        <w:t xml:space="preserve">for agreement, </w:t>
      </w:r>
      <w:r w:rsidR="000B2940" w:rsidRPr="00D632E9">
        <w:rPr>
          <w:rFonts w:asciiTheme="minorHAnsi" w:hAnsiTheme="minorHAnsi" w:cstheme="minorHAnsi"/>
          <w:iCs/>
          <w:color w:val="000000" w:themeColor="text1"/>
          <w:sz w:val="22"/>
          <w:szCs w:val="22"/>
        </w:rPr>
        <w:t>where the</w:t>
      </w:r>
      <w:r w:rsidR="00883C76" w:rsidRPr="00D632E9">
        <w:rPr>
          <w:rFonts w:asciiTheme="minorHAnsi" w:hAnsiTheme="minorHAnsi" w:cstheme="minorHAnsi"/>
          <w:iCs/>
          <w:color w:val="000000" w:themeColor="text1"/>
          <w:sz w:val="22"/>
          <w:szCs w:val="22"/>
        </w:rPr>
        <w:t xml:space="preserve"> proposals depart from this policy.  </w:t>
      </w:r>
    </w:p>
    <w:p w14:paraId="0438D50F" w14:textId="77777777" w:rsidR="00CD1BE5" w:rsidRPr="00D632E9" w:rsidRDefault="00CD1BE5" w:rsidP="00D632E9">
      <w:pPr>
        <w:pStyle w:val="Heading3Num"/>
        <w:tabs>
          <w:tab w:val="clear" w:pos="2127"/>
          <w:tab w:val="num" w:pos="1276"/>
        </w:tabs>
        <w:ind w:hanging="2127"/>
      </w:pPr>
      <w:bookmarkStart w:id="38" w:name="_Toc80875395"/>
      <w:r w:rsidRPr="00D632E9">
        <w:t>Costs</w:t>
      </w:r>
      <w:bookmarkEnd w:id="38"/>
    </w:p>
    <w:p w14:paraId="13524DA2" w14:textId="57C49264" w:rsidR="00883C76" w:rsidRPr="00D632E9" w:rsidRDefault="00FD7190" w:rsidP="00D632E9">
      <w:pPr>
        <w:spacing w:after="180"/>
        <w:ind w:left="1276"/>
        <w:rPr>
          <w:rFonts w:asciiTheme="minorHAnsi" w:hAnsiTheme="minorHAnsi" w:cstheme="minorHAnsi"/>
          <w:color w:val="000000" w:themeColor="text1"/>
          <w:sz w:val="22"/>
          <w:szCs w:val="22"/>
        </w:rPr>
      </w:pPr>
      <w:r w:rsidRPr="00D632E9">
        <w:rPr>
          <w:rFonts w:asciiTheme="minorHAnsi" w:hAnsiTheme="minorHAnsi" w:cstheme="minorHAnsi"/>
          <w:iCs/>
          <w:color w:val="000000" w:themeColor="text1"/>
          <w:sz w:val="22"/>
          <w:szCs w:val="22"/>
        </w:rPr>
        <w:t xml:space="preserve">The </w:t>
      </w:r>
      <w:r w:rsidR="00ED7F8E" w:rsidRPr="00D632E9">
        <w:rPr>
          <w:rFonts w:asciiTheme="minorHAnsi" w:hAnsiTheme="minorHAnsi" w:cstheme="minorHAnsi"/>
          <w:color w:val="000000" w:themeColor="text1"/>
          <w:sz w:val="22"/>
          <w:szCs w:val="22"/>
        </w:rPr>
        <w:t>Administering Authority</w:t>
      </w:r>
      <w:r w:rsidR="00ED7F8E" w:rsidRPr="00D632E9" w:rsidDel="00ED7F8E">
        <w:rPr>
          <w:rFonts w:asciiTheme="minorHAnsi" w:hAnsiTheme="minorHAnsi" w:cstheme="minorHAnsi"/>
          <w:iCs/>
          <w:color w:val="000000" w:themeColor="text1"/>
          <w:sz w:val="22"/>
          <w:szCs w:val="22"/>
        </w:rPr>
        <w:t xml:space="preserve"> </w:t>
      </w:r>
      <w:r w:rsidRPr="00D632E9">
        <w:rPr>
          <w:rFonts w:asciiTheme="minorHAnsi" w:hAnsiTheme="minorHAnsi" w:cstheme="minorHAnsi"/>
          <w:iCs/>
          <w:color w:val="000000" w:themeColor="text1"/>
          <w:sz w:val="22"/>
          <w:szCs w:val="22"/>
        </w:rPr>
        <w:t xml:space="preserve">may require any actuarial, legal, administration and other justifiable cost to be paid by the employer in the Fund responsible for the transfer in or out.  </w:t>
      </w:r>
    </w:p>
    <w:p w14:paraId="577907A2" w14:textId="77777777" w:rsidR="002D7D44" w:rsidRPr="00DD37FC" w:rsidRDefault="002D7D44">
      <w:pPr>
        <w:widowControl/>
        <w:rPr>
          <w:rFonts w:ascii="Arial" w:hAnsi="Arial" w:cs="Arial"/>
          <w:color w:val="003300"/>
          <w:szCs w:val="24"/>
          <w:lang w:eastAsia="en-GB"/>
        </w:rPr>
      </w:pPr>
      <w:r w:rsidRPr="00DD37FC">
        <w:rPr>
          <w:rFonts w:ascii="Arial" w:hAnsi="Arial" w:cs="Arial"/>
          <w:color w:val="003300"/>
          <w:szCs w:val="24"/>
          <w:lang w:eastAsia="en-GB"/>
        </w:rPr>
        <w:br w:type="page"/>
      </w:r>
    </w:p>
    <w:p w14:paraId="5926AC24" w14:textId="3041A5A7" w:rsidR="00B04275" w:rsidRDefault="00B04275" w:rsidP="006700A5">
      <w:pPr>
        <w:pStyle w:val="Heading1Num"/>
        <w:numPr>
          <w:ilvl w:val="0"/>
          <w:numId w:val="0"/>
        </w:numPr>
        <w:ind w:left="567" w:hanging="567"/>
        <w:rPr>
          <w:szCs w:val="24"/>
          <w:lang w:eastAsia="en-GB"/>
        </w:rPr>
      </w:pPr>
      <w:bookmarkStart w:id="39" w:name="_Toc80875396"/>
      <w:r w:rsidRPr="00DD37FC">
        <w:rPr>
          <w:szCs w:val="24"/>
          <w:lang w:eastAsia="en-GB"/>
        </w:rPr>
        <w:t>Appendix 1</w:t>
      </w:r>
      <w:bookmarkEnd w:id="39"/>
    </w:p>
    <w:p w14:paraId="3BA6B632" w14:textId="6532BBFB" w:rsidR="00F73FD6" w:rsidRPr="00DD37FC" w:rsidRDefault="001C37B0" w:rsidP="00C64E40">
      <w:pPr>
        <w:pStyle w:val="Heading2Num"/>
        <w:numPr>
          <w:ilvl w:val="0"/>
          <w:numId w:val="0"/>
        </w:numPr>
      </w:pPr>
      <w:bookmarkStart w:id="40" w:name="_Toc80875397"/>
      <w:r w:rsidRPr="00D632E9">
        <w:t xml:space="preserve">Admission </w:t>
      </w:r>
      <w:r w:rsidR="00D632E9" w:rsidRPr="00D632E9">
        <w:t>b</w:t>
      </w:r>
      <w:r w:rsidRPr="00D632E9">
        <w:t xml:space="preserve">odies - </w:t>
      </w:r>
      <w:r w:rsidR="00D632E9" w:rsidRPr="00D632E9">
        <w:t>o</w:t>
      </w:r>
      <w:r w:rsidR="00F73FD6" w:rsidRPr="00D632E9">
        <w:t xml:space="preserve">verriding </w:t>
      </w:r>
      <w:r w:rsidR="00D632E9" w:rsidRPr="00D632E9">
        <w:t>p</w:t>
      </w:r>
      <w:r w:rsidR="00F73FD6" w:rsidRPr="00D632E9">
        <w:t>rinciples</w:t>
      </w:r>
      <w:bookmarkEnd w:id="40"/>
    </w:p>
    <w:p w14:paraId="05A88332" w14:textId="77777777" w:rsidR="00F73FD6" w:rsidRPr="00D632E9" w:rsidRDefault="00F73FD6" w:rsidP="00F73FD6">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The purpose of an admission policy is to ensure that only appropriate bodies are admitted to the </w:t>
      </w:r>
      <w:r w:rsidR="00CC700A" w:rsidRPr="00D632E9">
        <w:rPr>
          <w:rFonts w:asciiTheme="minorHAnsi" w:hAnsiTheme="minorHAnsi" w:cstheme="minorHAnsi"/>
          <w:iCs/>
          <w:sz w:val="22"/>
          <w:szCs w:val="22"/>
          <w:lang w:val="en-GB" w:eastAsia="en-GB"/>
        </w:rPr>
        <w:t>F</w:t>
      </w:r>
      <w:r w:rsidR="00026509" w:rsidRPr="00D632E9">
        <w:rPr>
          <w:rFonts w:asciiTheme="minorHAnsi" w:hAnsiTheme="minorHAnsi" w:cstheme="minorHAnsi"/>
          <w:iCs/>
          <w:sz w:val="22"/>
          <w:szCs w:val="22"/>
          <w:lang w:val="en-GB" w:eastAsia="en-GB"/>
        </w:rPr>
        <w:t>und</w:t>
      </w:r>
      <w:r w:rsidRPr="00D632E9">
        <w:rPr>
          <w:rFonts w:asciiTheme="minorHAnsi" w:hAnsiTheme="minorHAnsi" w:cstheme="minorHAnsi"/>
          <w:iCs/>
          <w:sz w:val="22"/>
          <w:szCs w:val="22"/>
          <w:lang w:val="en-GB" w:eastAsia="en-GB"/>
        </w:rPr>
        <w:t xml:space="preserve"> and that the financial risk to the fund and to employers in the fund is identified, minimised and managed accordingly.  </w:t>
      </w:r>
    </w:p>
    <w:p w14:paraId="2CBDBF46" w14:textId="77777777" w:rsidR="00F73FD6" w:rsidRPr="00D632E9" w:rsidRDefault="00F73FD6" w:rsidP="00F73FD6">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The </w:t>
      </w:r>
      <w:r w:rsidR="00CC700A" w:rsidRPr="00D632E9">
        <w:rPr>
          <w:rFonts w:asciiTheme="minorHAnsi" w:hAnsiTheme="minorHAnsi" w:cstheme="minorHAnsi"/>
          <w:iCs/>
          <w:sz w:val="22"/>
          <w:szCs w:val="22"/>
          <w:lang w:val="en-GB" w:eastAsia="en-GB"/>
        </w:rPr>
        <w:t>F</w:t>
      </w:r>
      <w:r w:rsidR="00026509" w:rsidRPr="00D632E9">
        <w:rPr>
          <w:rFonts w:asciiTheme="minorHAnsi" w:hAnsiTheme="minorHAnsi" w:cstheme="minorHAnsi"/>
          <w:iCs/>
          <w:sz w:val="22"/>
          <w:szCs w:val="22"/>
          <w:lang w:val="en-GB" w:eastAsia="en-GB"/>
        </w:rPr>
        <w:t>und</w:t>
      </w:r>
      <w:r w:rsidRPr="00D632E9">
        <w:rPr>
          <w:rFonts w:asciiTheme="minorHAnsi" w:hAnsiTheme="minorHAnsi" w:cstheme="minorHAnsi"/>
          <w:iCs/>
          <w:sz w:val="22"/>
          <w:szCs w:val="22"/>
          <w:lang w:val="en-GB" w:eastAsia="en-GB"/>
        </w:rPr>
        <w:t xml:space="preserve">’s policy is drafted on the basis of the following key principles: </w:t>
      </w:r>
    </w:p>
    <w:p w14:paraId="065FBD6B"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to ensure the long-term solvency of the Fund as a whole and the solvency of each of the notional sub-funds allocated to the individual employers;</w:t>
      </w:r>
    </w:p>
    <w:p w14:paraId="21F2754F"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to ensure that sufficient funds are available to meet all benefits as they fall due for payment;</w:t>
      </w:r>
    </w:p>
    <w:p w14:paraId="6D8B1D74"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not to restrain unnecessarily the investment strategy of the Fund so that the Administering Authority can seek to maximise investment returns (and hence minimise the cost of the benefits) for an appropriate level of risk;</w:t>
      </w:r>
    </w:p>
    <w:p w14:paraId="0CF5EF78"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 xml:space="preserve">to help employers recognise and manage pension liabilities as they accrue with consideration to the effect on the operation of their business where the Administering Authority considers this appropriate; </w:t>
      </w:r>
    </w:p>
    <w:p w14:paraId="51F079AD"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 xml:space="preserve">to minimise the degree of short-term change in the level of each employer’s contributions where the Administering Authority considers it reasonable to do so; </w:t>
      </w:r>
    </w:p>
    <w:p w14:paraId="1178CCB3"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 xml:space="preserve">to use reasonable measures to reduce the risk to other employers and ultimately to the council tax payer from an employer ceasing participation or defaulting on its pension obligations; </w:t>
      </w:r>
    </w:p>
    <w:p w14:paraId="6251A340" w14:textId="0E41AD3A"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to address the different characteristics of the disparate employers or groups of employers to the extent that this is</w:t>
      </w:r>
      <w:r w:rsidR="00CA511F" w:rsidRPr="002662E6">
        <w:rPr>
          <w:rFonts w:asciiTheme="minorHAnsi" w:hAnsiTheme="minorHAnsi" w:cstheme="minorHAnsi"/>
          <w:color w:val="auto"/>
          <w:szCs w:val="22"/>
        </w:rPr>
        <w:t xml:space="preserve"> practical and cost-effective; </w:t>
      </w:r>
      <w:r w:rsidRPr="002662E6">
        <w:rPr>
          <w:rFonts w:asciiTheme="minorHAnsi" w:hAnsiTheme="minorHAnsi" w:cstheme="minorHAnsi"/>
          <w:color w:val="auto"/>
          <w:szCs w:val="22"/>
        </w:rPr>
        <w:t xml:space="preserve">and </w:t>
      </w:r>
    </w:p>
    <w:p w14:paraId="70F0BF3D" w14:textId="77777777" w:rsidR="00F73FD6" w:rsidRPr="002662E6" w:rsidRDefault="00F73FD6" w:rsidP="00EC7ACE">
      <w:pPr>
        <w:pStyle w:val="ListParagraph"/>
        <w:numPr>
          <w:ilvl w:val="0"/>
          <w:numId w:val="7"/>
        </w:numPr>
        <w:autoSpaceDE w:val="0"/>
        <w:autoSpaceDN w:val="0"/>
        <w:adjustRightInd w:val="0"/>
        <w:rPr>
          <w:rFonts w:asciiTheme="minorHAnsi" w:hAnsiTheme="minorHAnsi" w:cstheme="minorHAnsi"/>
          <w:color w:val="auto"/>
          <w:szCs w:val="22"/>
        </w:rPr>
      </w:pPr>
      <w:r w:rsidRPr="002662E6">
        <w:rPr>
          <w:rFonts w:asciiTheme="minorHAnsi" w:hAnsiTheme="minorHAnsi" w:cstheme="minorHAnsi"/>
          <w:color w:val="auto"/>
          <w:szCs w:val="22"/>
        </w:rPr>
        <w:t>to maintain the affordability of the fund to employers as far as is reasonable over the longer term.</w:t>
      </w:r>
    </w:p>
    <w:p w14:paraId="5EE58410" w14:textId="31EF28C5" w:rsidR="001C37B0" w:rsidRPr="00EC7ACE" w:rsidRDefault="00FD7190" w:rsidP="00EC7ACE">
      <w:pPr>
        <w:pStyle w:val="BodyTextGrey"/>
        <w:numPr>
          <w:ilvl w:val="0"/>
          <w:numId w:val="7"/>
        </w:numPr>
        <w:rPr>
          <w:rFonts w:asciiTheme="minorHAnsi" w:hAnsiTheme="minorHAnsi" w:cstheme="minorHAnsi"/>
          <w:iCs/>
          <w:sz w:val="22"/>
          <w:szCs w:val="22"/>
          <w:lang w:val="en-GB" w:eastAsia="en-GB"/>
        </w:rPr>
      </w:pPr>
      <w:r w:rsidRPr="002662E6">
        <w:rPr>
          <w:rFonts w:asciiTheme="minorHAnsi" w:hAnsiTheme="minorHAnsi" w:cstheme="minorHAnsi"/>
          <w:szCs w:val="22"/>
        </w:rPr>
        <w:t>t</w:t>
      </w:r>
      <w:r w:rsidR="00CC700A" w:rsidRPr="002662E6">
        <w:rPr>
          <w:rFonts w:asciiTheme="minorHAnsi" w:hAnsiTheme="minorHAnsi" w:cstheme="minorHAnsi"/>
          <w:szCs w:val="22"/>
        </w:rPr>
        <w:t xml:space="preserve">o complement the </w:t>
      </w:r>
      <w:r w:rsidR="001C37B0" w:rsidRPr="002662E6">
        <w:rPr>
          <w:rFonts w:asciiTheme="minorHAnsi" w:hAnsiTheme="minorHAnsi" w:cstheme="minorHAnsi"/>
          <w:szCs w:val="22"/>
        </w:rPr>
        <w:t xml:space="preserve">Funding Strategy Statement </w:t>
      </w:r>
      <w:r w:rsidR="001C37B0" w:rsidRPr="00EC7ACE">
        <w:rPr>
          <w:rFonts w:asciiTheme="minorHAnsi" w:hAnsiTheme="minorHAnsi" w:cstheme="minorHAnsi"/>
          <w:iCs/>
          <w:sz w:val="22"/>
          <w:szCs w:val="22"/>
          <w:lang w:val="en-GB" w:eastAsia="en-GB"/>
        </w:rPr>
        <w:t>(FSS)</w:t>
      </w:r>
    </w:p>
    <w:p w14:paraId="26085239" w14:textId="77777777" w:rsidR="00F73FD6" w:rsidRPr="00D632E9" w:rsidRDefault="00F73FD6" w:rsidP="00F73FD6">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There is also an overriding objective to ensure that the LGPS Regulations and any supplementary guidance (in particular the Best Value Authorities Staff Transfers (Pensions) Direction 2007 [Statutory Guidance to Local Authorities on Contracting </w:t>
      </w:r>
      <w:r w:rsidR="001C37B0" w:rsidRPr="00D632E9">
        <w:rPr>
          <w:rFonts w:asciiTheme="minorHAnsi" w:hAnsiTheme="minorHAnsi" w:cstheme="minorHAnsi"/>
          <w:iCs/>
          <w:sz w:val="22"/>
          <w:szCs w:val="22"/>
          <w:lang w:val="en-GB" w:eastAsia="en-GB"/>
        </w:rPr>
        <w:t>effective from October 2007</w:t>
      </w:r>
      <w:r w:rsidRPr="00D632E9">
        <w:rPr>
          <w:rFonts w:asciiTheme="minorHAnsi" w:hAnsiTheme="minorHAnsi" w:cstheme="minorHAnsi"/>
          <w:iCs/>
          <w:sz w:val="22"/>
          <w:szCs w:val="22"/>
          <w:lang w:val="en-GB" w:eastAsia="en-GB"/>
        </w:rPr>
        <w:t>] and Fair Deal guidance) as they pertain to admission agreements are adhered to.</w:t>
      </w:r>
    </w:p>
    <w:p w14:paraId="28472A94" w14:textId="77777777" w:rsidR="00026509" w:rsidRPr="00D632E9" w:rsidRDefault="00026509">
      <w:pPr>
        <w:widowControl/>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br w:type="page"/>
      </w:r>
    </w:p>
    <w:p w14:paraId="4D392963" w14:textId="77777777" w:rsidR="00B04275" w:rsidRPr="00DD37FC" w:rsidRDefault="00B04275" w:rsidP="006700A5">
      <w:pPr>
        <w:pStyle w:val="Heading1Num"/>
        <w:numPr>
          <w:ilvl w:val="0"/>
          <w:numId w:val="0"/>
        </w:numPr>
        <w:ind w:left="567" w:hanging="567"/>
        <w:rPr>
          <w:szCs w:val="24"/>
          <w:lang w:eastAsia="en-GB"/>
        </w:rPr>
      </w:pPr>
      <w:bookmarkStart w:id="41" w:name="_Toc80875398"/>
      <w:r w:rsidRPr="00DD37FC">
        <w:rPr>
          <w:szCs w:val="24"/>
          <w:lang w:eastAsia="en-GB"/>
        </w:rPr>
        <w:t>Appendix 2</w:t>
      </w:r>
      <w:bookmarkEnd w:id="41"/>
    </w:p>
    <w:p w14:paraId="24F58898" w14:textId="13401C67" w:rsidR="001C37B0" w:rsidRPr="00D632E9" w:rsidRDefault="001C37B0" w:rsidP="002D7D44">
      <w:pPr>
        <w:spacing w:after="180"/>
        <w:rPr>
          <w:rFonts w:ascii="Calibri" w:hAnsi="Calibri" w:cs="Calibri"/>
          <w:b/>
          <w:color w:val="244D7A"/>
          <w:szCs w:val="24"/>
          <w:lang w:eastAsia="en-GB"/>
        </w:rPr>
      </w:pPr>
      <w:r w:rsidRPr="00D632E9">
        <w:rPr>
          <w:rFonts w:ascii="Calibri" w:hAnsi="Calibri" w:cs="Calibri"/>
          <w:b/>
          <w:color w:val="244D7A"/>
          <w:szCs w:val="24"/>
          <w:lang w:eastAsia="en-GB"/>
        </w:rPr>
        <w:t xml:space="preserve">Admission </w:t>
      </w:r>
      <w:r w:rsidR="00D632E9">
        <w:rPr>
          <w:rFonts w:ascii="Calibri" w:hAnsi="Calibri" w:cs="Calibri"/>
          <w:b/>
          <w:color w:val="244D7A"/>
          <w:szCs w:val="24"/>
          <w:lang w:eastAsia="en-GB"/>
        </w:rPr>
        <w:t>b</w:t>
      </w:r>
      <w:r w:rsidRPr="00D632E9">
        <w:rPr>
          <w:rFonts w:ascii="Calibri" w:hAnsi="Calibri" w:cs="Calibri"/>
          <w:b/>
          <w:color w:val="244D7A"/>
          <w:szCs w:val="24"/>
          <w:lang w:eastAsia="en-GB"/>
        </w:rPr>
        <w:t xml:space="preserve">odies </w:t>
      </w:r>
      <w:r w:rsidR="00D309AB" w:rsidRPr="00D632E9">
        <w:rPr>
          <w:rFonts w:ascii="Calibri" w:hAnsi="Calibri" w:cs="Calibri"/>
          <w:b/>
          <w:color w:val="244D7A"/>
          <w:szCs w:val="24"/>
          <w:lang w:eastAsia="en-GB"/>
        </w:rPr>
        <w:t xml:space="preserve">and </w:t>
      </w:r>
      <w:r w:rsidR="00D632E9">
        <w:rPr>
          <w:rFonts w:ascii="Calibri" w:hAnsi="Calibri" w:cs="Calibri"/>
          <w:b/>
          <w:color w:val="244D7A"/>
          <w:szCs w:val="24"/>
          <w:lang w:eastAsia="en-GB"/>
        </w:rPr>
        <w:t>s</w:t>
      </w:r>
      <w:r w:rsidR="00D31882" w:rsidRPr="00D632E9">
        <w:rPr>
          <w:rFonts w:ascii="Calibri" w:hAnsi="Calibri" w:cs="Calibri"/>
          <w:b/>
          <w:color w:val="244D7A"/>
          <w:szCs w:val="24"/>
          <w:lang w:eastAsia="en-GB"/>
        </w:rPr>
        <w:t xml:space="preserve">cheduled </w:t>
      </w:r>
      <w:r w:rsidR="00D632E9">
        <w:rPr>
          <w:rFonts w:ascii="Calibri" w:hAnsi="Calibri" w:cs="Calibri"/>
          <w:b/>
          <w:color w:val="244D7A"/>
          <w:szCs w:val="24"/>
          <w:lang w:eastAsia="en-GB"/>
        </w:rPr>
        <w:t>b</w:t>
      </w:r>
      <w:r w:rsidR="00D31882" w:rsidRPr="00D632E9">
        <w:rPr>
          <w:rFonts w:ascii="Calibri" w:hAnsi="Calibri" w:cs="Calibri"/>
          <w:b/>
          <w:color w:val="244D7A"/>
          <w:szCs w:val="24"/>
          <w:lang w:eastAsia="en-GB"/>
        </w:rPr>
        <w:t>odies</w:t>
      </w:r>
      <w:r w:rsidRPr="00D632E9">
        <w:rPr>
          <w:rFonts w:ascii="Calibri" w:hAnsi="Calibri" w:cs="Calibri"/>
          <w:b/>
          <w:color w:val="244D7A"/>
          <w:szCs w:val="24"/>
          <w:lang w:eastAsia="en-GB"/>
        </w:rPr>
        <w:t xml:space="preserve"> - </w:t>
      </w:r>
      <w:r w:rsidR="00D632E9">
        <w:rPr>
          <w:rFonts w:ascii="Calibri" w:hAnsi="Calibri" w:cs="Calibri"/>
          <w:b/>
          <w:color w:val="244D7A"/>
          <w:szCs w:val="24"/>
          <w:lang w:eastAsia="en-GB"/>
        </w:rPr>
        <w:t>t</w:t>
      </w:r>
      <w:r w:rsidRPr="00D632E9">
        <w:rPr>
          <w:rFonts w:ascii="Calibri" w:hAnsi="Calibri" w:cs="Calibri"/>
          <w:b/>
          <w:color w:val="244D7A"/>
          <w:szCs w:val="24"/>
          <w:lang w:eastAsia="en-GB"/>
        </w:rPr>
        <w:t xml:space="preserve">he </w:t>
      </w:r>
      <w:r w:rsidR="00D632E9">
        <w:rPr>
          <w:rFonts w:ascii="Calibri" w:hAnsi="Calibri" w:cs="Calibri"/>
          <w:b/>
          <w:color w:val="244D7A"/>
          <w:szCs w:val="24"/>
          <w:lang w:eastAsia="en-GB"/>
        </w:rPr>
        <w:t>r</w:t>
      </w:r>
      <w:r w:rsidRPr="00D632E9">
        <w:rPr>
          <w:rFonts w:ascii="Calibri" w:hAnsi="Calibri" w:cs="Calibri"/>
          <w:b/>
          <w:color w:val="244D7A"/>
          <w:szCs w:val="24"/>
          <w:lang w:eastAsia="en-GB"/>
        </w:rPr>
        <w:t xml:space="preserve">egulatory and guidance framework </w:t>
      </w:r>
    </w:p>
    <w:p w14:paraId="7A85E996" w14:textId="77777777" w:rsidR="001C37B0" w:rsidRPr="00EC7ACE" w:rsidRDefault="001C37B0" w:rsidP="00557A57">
      <w:pPr>
        <w:pStyle w:val="BodyTextGrey"/>
        <w:rPr>
          <w:rFonts w:asciiTheme="minorHAnsi" w:hAnsiTheme="minorHAnsi" w:cstheme="minorHAnsi"/>
          <w:b/>
          <w:iCs/>
          <w:szCs w:val="24"/>
          <w:lang w:val="en-GB" w:eastAsia="en-GB"/>
        </w:rPr>
      </w:pPr>
      <w:r w:rsidRPr="00EC7ACE">
        <w:rPr>
          <w:rFonts w:asciiTheme="minorHAnsi" w:hAnsiTheme="minorHAnsi" w:cstheme="minorHAnsi"/>
          <w:b/>
          <w:iCs/>
          <w:szCs w:val="24"/>
          <w:lang w:val="en-GB" w:eastAsia="en-GB"/>
        </w:rPr>
        <w:t>The LGPS</w:t>
      </w:r>
    </w:p>
    <w:p w14:paraId="7E5F0C6F" w14:textId="77777777" w:rsidR="00D309AB" w:rsidRPr="00D632E9" w:rsidRDefault="00F73FD6" w:rsidP="00F73FD6">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The Local Government Pension Scheme Regulations 20</w:t>
      </w:r>
      <w:r w:rsidR="00D309AB" w:rsidRPr="00D632E9">
        <w:rPr>
          <w:rFonts w:asciiTheme="minorHAnsi" w:hAnsiTheme="minorHAnsi" w:cstheme="minorHAnsi"/>
          <w:iCs/>
          <w:sz w:val="22"/>
          <w:szCs w:val="22"/>
          <w:lang w:val="en-GB" w:eastAsia="en-GB"/>
        </w:rPr>
        <w:t>14, as amended, (“The</w:t>
      </w:r>
      <w:r w:rsidRPr="00D632E9">
        <w:rPr>
          <w:rFonts w:asciiTheme="minorHAnsi" w:hAnsiTheme="minorHAnsi" w:cstheme="minorHAnsi"/>
          <w:iCs/>
          <w:sz w:val="22"/>
          <w:szCs w:val="22"/>
          <w:lang w:val="en-GB" w:eastAsia="en-GB"/>
        </w:rPr>
        <w:t xml:space="preserve"> Regulations”) describe two</w:t>
      </w:r>
      <w:r w:rsidR="00D309AB" w:rsidRPr="00D632E9">
        <w:rPr>
          <w:rFonts w:asciiTheme="minorHAnsi" w:hAnsiTheme="minorHAnsi" w:cstheme="minorHAnsi"/>
          <w:iCs/>
          <w:sz w:val="22"/>
          <w:szCs w:val="22"/>
          <w:lang w:val="en-GB" w:eastAsia="en-GB"/>
        </w:rPr>
        <w:t xml:space="preserve"> main routes by which bodies may gain admission body status.  These are;</w:t>
      </w:r>
    </w:p>
    <w:p w14:paraId="1F6D02BA" w14:textId="77777777" w:rsidR="00D309AB" w:rsidRPr="00D632E9" w:rsidRDefault="00D309AB" w:rsidP="00EC7ACE">
      <w:pPr>
        <w:pStyle w:val="BodyTextGrey"/>
        <w:numPr>
          <w:ilvl w:val="0"/>
          <w:numId w:val="6"/>
        </w:numPr>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By being </w:t>
      </w:r>
      <w:r w:rsidR="00F73FD6" w:rsidRPr="00D632E9">
        <w:rPr>
          <w:rFonts w:asciiTheme="minorHAnsi" w:hAnsiTheme="minorHAnsi" w:cstheme="minorHAnsi"/>
          <w:iCs/>
          <w:sz w:val="22"/>
          <w:szCs w:val="22"/>
          <w:lang w:val="en-GB" w:eastAsia="en-GB"/>
        </w:rPr>
        <w:t>linked with, funded by, or representative of a loc</w:t>
      </w:r>
      <w:r w:rsidRPr="00D632E9">
        <w:rPr>
          <w:rFonts w:asciiTheme="minorHAnsi" w:hAnsiTheme="minorHAnsi" w:cstheme="minorHAnsi"/>
          <w:iCs/>
          <w:sz w:val="22"/>
          <w:szCs w:val="22"/>
          <w:lang w:val="en-GB" w:eastAsia="en-GB"/>
        </w:rPr>
        <w:t>al authority or scheme employer, or</w:t>
      </w:r>
      <w:r w:rsidR="00D31882" w:rsidRPr="00D632E9">
        <w:rPr>
          <w:rFonts w:asciiTheme="minorHAnsi" w:hAnsiTheme="minorHAnsi" w:cstheme="minorHAnsi"/>
          <w:iCs/>
          <w:sz w:val="22"/>
          <w:szCs w:val="22"/>
          <w:lang w:val="en-GB" w:eastAsia="en-GB"/>
        </w:rPr>
        <w:t xml:space="preserve"> providing a public service and having sufficient links with a Scheme employer for the body and the Scheme employer to be regarded as having a community of interest</w:t>
      </w:r>
    </w:p>
    <w:p w14:paraId="340E4B8C" w14:textId="77777777" w:rsidR="00F73FD6" w:rsidRPr="00D632E9" w:rsidRDefault="005A0E3C" w:rsidP="00EC7ACE">
      <w:pPr>
        <w:pStyle w:val="BodyTextGrey"/>
        <w:numPr>
          <w:ilvl w:val="0"/>
          <w:numId w:val="6"/>
        </w:numPr>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By providing</w:t>
      </w:r>
      <w:r w:rsidR="00F73FD6" w:rsidRPr="00D632E9">
        <w:rPr>
          <w:rFonts w:asciiTheme="minorHAnsi" w:hAnsiTheme="minorHAnsi" w:cstheme="minorHAnsi"/>
          <w:iCs/>
          <w:sz w:val="22"/>
          <w:szCs w:val="22"/>
          <w:lang w:val="en-GB" w:eastAsia="en-GB"/>
        </w:rPr>
        <w:t xml:space="preserve"> a service as a result of the transfer of the service or assets by means of a contract or other arrangement (e.g. outsourcing). </w:t>
      </w:r>
    </w:p>
    <w:p w14:paraId="2375199F" w14:textId="77777777" w:rsidR="00557A57" w:rsidRPr="00D632E9" w:rsidRDefault="00D31882">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In December 2009, the Department for Communities and Local Government (“DCLG”) issued guidance explaining the LGPS regulatory provisions relating to admission bodies.</w:t>
      </w:r>
      <w:r w:rsidR="00557A57" w:rsidRPr="00D632E9">
        <w:rPr>
          <w:rFonts w:asciiTheme="minorHAnsi" w:hAnsiTheme="minorHAnsi" w:cstheme="minorHAnsi"/>
          <w:iCs/>
          <w:sz w:val="22"/>
          <w:szCs w:val="22"/>
          <w:lang w:val="en-GB" w:eastAsia="en-GB"/>
        </w:rPr>
        <w:t xml:space="preserve"> </w:t>
      </w:r>
    </w:p>
    <w:p w14:paraId="5E64A17B" w14:textId="77777777" w:rsidR="00D31882" w:rsidRPr="00D632E9" w:rsidRDefault="00D31882">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Employers may also be admitted to the </w:t>
      </w:r>
      <w:r w:rsidR="00CC700A" w:rsidRPr="00D632E9">
        <w:rPr>
          <w:rFonts w:asciiTheme="minorHAnsi" w:hAnsiTheme="minorHAnsi" w:cstheme="minorHAnsi"/>
          <w:iCs/>
          <w:sz w:val="22"/>
          <w:szCs w:val="22"/>
          <w:lang w:val="en-GB" w:eastAsia="en-GB"/>
        </w:rPr>
        <w:t>F</w:t>
      </w:r>
      <w:r w:rsidR="00026509" w:rsidRPr="00D632E9">
        <w:rPr>
          <w:rFonts w:asciiTheme="minorHAnsi" w:hAnsiTheme="minorHAnsi" w:cstheme="minorHAnsi"/>
          <w:iCs/>
          <w:sz w:val="22"/>
          <w:szCs w:val="22"/>
          <w:lang w:val="en-GB" w:eastAsia="en-GB"/>
        </w:rPr>
        <w:t>und</w:t>
      </w:r>
      <w:r w:rsidRPr="00D632E9">
        <w:rPr>
          <w:rFonts w:asciiTheme="minorHAnsi" w:hAnsiTheme="minorHAnsi" w:cstheme="minorHAnsi"/>
          <w:iCs/>
          <w:sz w:val="22"/>
          <w:szCs w:val="22"/>
          <w:lang w:val="en-GB" w:eastAsia="en-GB"/>
        </w:rPr>
        <w:t xml:space="preserve"> by virtue of being listed in Schedule 2 of The Regulations. Referred to as Scheduled bodies, such employers have a right to participate in the LGPS.</w:t>
      </w:r>
    </w:p>
    <w:p w14:paraId="5593D8C7" w14:textId="649306EB" w:rsidR="00F73FD6" w:rsidRPr="00D632E9" w:rsidRDefault="00F73FD6" w:rsidP="007216FD">
      <w:pPr>
        <w:spacing w:after="180"/>
        <w:rPr>
          <w:rFonts w:asciiTheme="minorHAnsi" w:hAnsiTheme="minorHAnsi" w:cstheme="minorHAnsi"/>
          <w:szCs w:val="24"/>
          <w:lang w:eastAsia="en-GB"/>
        </w:rPr>
      </w:pPr>
      <w:r w:rsidRPr="00D632E9">
        <w:rPr>
          <w:rFonts w:asciiTheme="minorHAnsi" w:hAnsiTheme="minorHAnsi" w:cstheme="minorHAnsi"/>
          <w:b/>
          <w:szCs w:val="24"/>
          <w:lang w:eastAsia="en-GB"/>
        </w:rPr>
        <w:t xml:space="preserve">Fair </w:t>
      </w:r>
      <w:r w:rsidR="00CA511F">
        <w:rPr>
          <w:rFonts w:asciiTheme="minorHAnsi" w:hAnsiTheme="minorHAnsi" w:cstheme="minorHAnsi"/>
          <w:b/>
          <w:szCs w:val="24"/>
          <w:lang w:eastAsia="en-GB"/>
        </w:rPr>
        <w:t>d</w:t>
      </w:r>
      <w:r w:rsidRPr="00D632E9">
        <w:rPr>
          <w:rFonts w:asciiTheme="minorHAnsi" w:hAnsiTheme="minorHAnsi" w:cstheme="minorHAnsi"/>
          <w:b/>
          <w:szCs w:val="24"/>
          <w:lang w:eastAsia="en-GB"/>
        </w:rPr>
        <w:t xml:space="preserve">eal, ODPM </w:t>
      </w:r>
      <w:r w:rsidR="00CA511F">
        <w:rPr>
          <w:rFonts w:asciiTheme="minorHAnsi" w:hAnsiTheme="minorHAnsi" w:cstheme="minorHAnsi"/>
          <w:b/>
          <w:szCs w:val="24"/>
          <w:lang w:eastAsia="en-GB"/>
        </w:rPr>
        <w:t>c</w:t>
      </w:r>
      <w:r w:rsidRPr="00D632E9">
        <w:rPr>
          <w:rFonts w:asciiTheme="minorHAnsi" w:hAnsiTheme="minorHAnsi" w:cstheme="minorHAnsi"/>
          <w:b/>
          <w:szCs w:val="24"/>
          <w:lang w:eastAsia="en-GB"/>
        </w:rPr>
        <w:t xml:space="preserve">ode of </w:t>
      </w:r>
      <w:r w:rsidR="00CA511F">
        <w:rPr>
          <w:rFonts w:asciiTheme="minorHAnsi" w:hAnsiTheme="minorHAnsi" w:cstheme="minorHAnsi"/>
          <w:b/>
          <w:szCs w:val="24"/>
          <w:lang w:eastAsia="en-GB"/>
        </w:rPr>
        <w:t>p</w:t>
      </w:r>
      <w:r w:rsidRPr="00D632E9">
        <w:rPr>
          <w:rFonts w:asciiTheme="minorHAnsi" w:hAnsiTheme="minorHAnsi" w:cstheme="minorHAnsi"/>
          <w:b/>
          <w:szCs w:val="24"/>
          <w:lang w:eastAsia="en-GB"/>
        </w:rPr>
        <w:t xml:space="preserve">ractice and the </w:t>
      </w:r>
      <w:r w:rsidR="00CA511F">
        <w:rPr>
          <w:rFonts w:asciiTheme="minorHAnsi" w:hAnsiTheme="minorHAnsi" w:cstheme="minorHAnsi"/>
          <w:b/>
          <w:szCs w:val="24"/>
          <w:lang w:eastAsia="en-GB"/>
        </w:rPr>
        <w:t>d</w:t>
      </w:r>
      <w:r w:rsidRPr="00D632E9">
        <w:rPr>
          <w:rFonts w:asciiTheme="minorHAnsi" w:hAnsiTheme="minorHAnsi" w:cstheme="minorHAnsi"/>
          <w:b/>
          <w:szCs w:val="24"/>
          <w:lang w:eastAsia="en-GB"/>
        </w:rPr>
        <w:t>irection</w:t>
      </w:r>
    </w:p>
    <w:p w14:paraId="23F0361E" w14:textId="77777777" w:rsidR="00417552" w:rsidRPr="00D632E9" w:rsidRDefault="00417552" w:rsidP="00557A57">
      <w:pPr>
        <w:spacing w:after="180"/>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Where employees are being transferred under TUPE, the principles of the Cabinet Office Statement of Practice ("COSOP") dated January 2000 and revised in December 2013 "Staff Transfers in the Public Sector – Statement of Practice”, and in particular the “Fair Deal for Staff Pensions" guidance that supports “COSOP” (commonly known as ‘Fair Deal’) must also be adhered to. The Government published the reformed Fair Deal policy on 4 October 2013, which pertains to transfers from Central Government.  The key requirements of this policy are: -</w:t>
      </w:r>
    </w:p>
    <w:p w14:paraId="5158DEFC" w14:textId="77777777" w:rsidR="00417552" w:rsidRPr="00EC7ACE" w:rsidRDefault="00417552" w:rsidP="00EC7ACE">
      <w:pPr>
        <w:pStyle w:val="ListParagraph"/>
        <w:numPr>
          <w:ilvl w:val="0"/>
          <w:numId w:val="7"/>
        </w:numPr>
        <w:autoSpaceDE w:val="0"/>
        <w:autoSpaceDN w:val="0"/>
        <w:adjustRightInd w:val="0"/>
        <w:rPr>
          <w:rFonts w:asciiTheme="minorHAnsi" w:hAnsiTheme="minorHAnsi" w:cstheme="minorHAnsi"/>
          <w:color w:val="auto"/>
          <w:szCs w:val="22"/>
        </w:rPr>
      </w:pPr>
      <w:r w:rsidRPr="00EC7ACE">
        <w:rPr>
          <w:rFonts w:asciiTheme="minorHAnsi" w:hAnsiTheme="minorHAnsi" w:cstheme="minorHAnsi"/>
          <w:color w:val="auto"/>
          <w:szCs w:val="22"/>
        </w:rPr>
        <w:t xml:space="preserve">that employees transferred to a supplier will in future automatically be entitled to remain in their existing public sector pension scheme.  </w:t>
      </w:r>
    </w:p>
    <w:p w14:paraId="766ACD8F" w14:textId="77777777" w:rsidR="00EC7ACE" w:rsidRPr="00EC7ACE" w:rsidRDefault="00417552" w:rsidP="00EC7ACE">
      <w:pPr>
        <w:pStyle w:val="ListParagraph"/>
        <w:numPr>
          <w:ilvl w:val="0"/>
          <w:numId w:val="7"/>
        </w:numPr>
        <w:autoSpaceDE w:val="0"/>
        <w:autoSpaceDN w:val="0"/>
        <w:adjustRightInd w:val="0"/>
        <w:rPr>
          <w:rFonts w:asciiTheme="minorHAnsi" w:hAnsiTheme="minorHAnsi" w:cstheme="minorHAnsi"/>
          <w:color w:val="auto"/>
          <w:szCs w:val="22"/>
        </w:rPr>
      </w:pPr>
      <w:r w:rsidRPr="00EC7ACE">
        <w:rPr>
          <w:rFonts w:asciiTheme="minorHAnsi" w:hAnsiTheme="minorHAnsi" w:cstheme="minorHAnsi"/>
          <w:color w:val="auto"/>
          <w:szCs w:val="22"/>
        </w:rPr>
        <w:t xml:space="preserve">under the reformed Fair Deal winning bidders generally will not have an option to </w:t>
      </w:r>
    </w:p>
    <w:p w14:paraId="596F4B54" w14:textId="18650483" w:rsidR="00417552" w:rsidRPr="00EC7ACE" w:rsidRDefault="00417552" w:rsidP="00EC7ACE">
      <w:pPr>
        <w:pStyle w:val="ListParagraph"/>
        <w:numPr>
          <w:ilvl w:val="0"/>
          <w:numId w:val="7"/>
        </w:numPr>
        <w:autoSpaceDE w:val="0"/>
        <w:autoSpaceDN w:val="0"/>
        <w:adjustRightInd w:val="0"/>
        <w:rPr>
          <w:rFonts w:asciiTheme="minorHAnsi" w:hAnsiTheme="minorHAnsi" w:cstheme="minorHAnsi"/>
          <w:color w:val="auto"/>
          <w:szCs w:val="22"/>
        </w:rPr>
      </w:pPr>
      <w:r w:rsidRPr="00EC7ACE">
        <w:rPr>
          <w:rFonts w:asciiTheme="minorHAnsi" w:hAnsiTheme="minorHAnsi" w:cstheme="minorHAnsi"/>
          <w:color w:val="auto"/>
          <w:szCs w:val="22"/>
        </w:rPr>
        <w:t>move employees eligible for public sector pension schemes to a broadly comparable private sector pension scheme apart from in exceptional cases.</w:t>
      </w:r>
      <w:r w:rsidRPr="00EC7ACE" w:rsidDel="004E2D84">
        <w:rPr>
          <w:rFonts w:asciiTheme="minorHAnsi" w:hAnsiTheme="minorHAnsi" w:cstheme="minorHAnsi"/>
          <w:color w:val="auto"/>
          <w:szCs w:val="22"/>
        </w:rPr>
        <w:t xml:space="preserve"> </w:t>
      </w:r>
    </w:p>
    <w:p w14:paraId="4355AC5B" w14:textId="7ECF4E40" w:rsidR="002662E6" w:rsidRPr="00EC7ACE" w:rsidRDefault="00417552" w:rsidP="00EC7ACE">
      <w:pPr>
        <w:pStyle w:val="ListParagraph"/>
        <w:numPr>
          <w:ilvl w:val="0"/>
          <w:numId w:val="0"/>
        </w:numPr>
        <w:autoSpaceDE w:val="0"/>
        <w:autoSpaceDN w:val="0"/>
        <w:adjustRightInd w:val="0"/>
        <w:ind w:left="1211"/>
        <w:rPr>
          <w:rFonts w:asciiTheme="minorHAnsi" w:hAnsiTheme="minorHAnsi" w:cstheme="minorHAnsi"/>
          <w:color w:val="auto"/>
          <w:szCs w:val="22"/>
        </w:rPr>
      </w:pPr>
      <w:r w:rsidRPr="00EC7ACE">
        <w:rPr>
          <w:rFonts w:asciiTheme="minorHAnsi" w:hAnsiTheme="minorHAnsi" w:cstheme="minorHAnsi"/>
          <w:color w:val="auto"/>
          <w:szCs w:val="22"/>
        </w:rPr>
        <w:t>where provision of a broadly comparable pension scheme is agreed, payment of a bulk transfer and protection of past service by provision of day for day service credits (or equivalent allowing for differences in the benefit structure of the new scheme), and</w:t>
      </w:r>
    </w:p>
    <w:p w14:paraId="11F56505" w14:textId="487DCC98" w:rsidR="00417552" w:rsidRPr="00EC7ACE" w:rsidRDefault="00417552" w:rsidP="00EC7ACE">
      <w:pPr>
        <w:pStyle w:val="BodyTextGrey"/>
        <w:numPr>
          <w:ilvl w:val="0"/>
          <w:numId w:val="7"/>
        </w:numPr>
        <w:rPr>
          <w:rFonts w:asciiTheme="minorHAnsi" w:hAnsiTheme="minorHAnsi" w:cstheme="minorHAnsi"/>
          <w:iCs/>
          <w:sz w:val="22"/>
          <w:szCs w:val="22"/>
          <w:lang w:val="en-GB" w:eastAsia="en-GB"/>
        </w:rPr>
      </w:pPr>
      <w:r w:rsidRPr="00EC7ACE">
        <w:rPr>
          <w:rFonts w:asciiTheme="minorHAnsi" w:hAnsiTheme="minorHAnsi" w:cstheme="minorHAnsi"/>
          <w:szCs w:val="22"/>
        </w:rPr>
        <w:t xml:space="preserve">protection of other pension related terms and conditions of employment, such as enhancement </w:t>
      </w:r>
      <w:r w:rsidRPr="00EC7ACE">
        <w:rPr>
          <w:rFonts w:asciiTheme="minorHAnsi" w:hAnsiTheme="minorHAnsi" w:cstheme="minorHAnsi"/>
          <w:iCs/>
          <w:sz w:val="22"/>
          <w:szCs w:val="22"/>
          <w:lang w:val="en-GB" w:eastAsia="en-GB"/>
        </w:rPr>
        <w:t>of benefits on redundancy.</w:t>
      </w:r>
    </w:p>
    <w:p w14:paraId="0E311A08" w14:textId="77777777" w:rsidR="00417552" w:rsidRPr="00D632E9" w:rsidRDefault="00417552" w:rsidP="00EC7ACE">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Fair Deal for the LGPS is still under consideration.  However, it is expected that the spirit of the above policy will be followed.</w:t>
      </w:r>
    </w:p>
    <w:p w14:paraId="1BE28B63" w14:textId="77777777" w:rsidR="00D632E9" w:rsidRDefault="00D632E9">
      <w:pPr>
        <w:widowControl/>
        <w:rPr>
          <w:rFonts w:ascii="Calibri" w:hAnsi="Calibri"/>
          <w:b/>
          <w:color w:val="61207F"/>
          <w:kern w:val="28"/>
          <w:szCs w:val="24"/>
          <w:lang w:val="en-GB" w:eastAsia="en-GB"/>
        </w:rPr>
      </w:pPr>
      <w:r>
        <w:rPr>
          <w:szCs w:val="24"/>
          <w:lang w:eastAsia="en-GB"/>
        </w:rPr>
        <w:br w:type="page"/>
      </w:r>
    </w:p>
    <w:p w14:paraId="0CC054A4" w14:textId="73C306A3" w:rsidR="00B04275" w:rsidRPr="00DD37FC" w:rsidRDefault="00B04275" w:rsidP="006700A5">
      <w:pPr>
        <w:pStyle w:val="Heading1Num"/>
        <w:numPr>
          <w:ilvl w:val="0"/>
          <w:numId w:val="0"/>
        </w:numPr>
        <w:ind w:left="567" w:hanging="567"/>
        <w:rPr>
          <w:szCs w:val="24"/>
          <w:lang w:eastAsia="en-GB"/>
        </w:rPr>
      </w:pPr>
      <w:bookmarkStart w:id="42" w:name="_Toc80875399"/>
      <w:r w:rsidRPr="00DD37FC">
        <w:rPr>
          <w:szCs w:val="24"/>
          <w:lang w:eastAsia="en-GB"/>
        </w:rPr>
        <w:t>Appendix 3</w:t>
      </w:r>
      <w:bookmarkEnd w:id="42"/>
    </w:p>
    <w:p w14:paraId="497BBFBD" w14:textId="3AFBB6A7" w:rsidR="00417552" w:rsidRPr="00D632E9" w:rsidRDefault="00417552" w:rsidP="002D7D44">
      <w:pPr>
        <w:spacing w:after="180"/>
        <w:rPr>
          <w:rFonts w:asciiTheme="minorHAnsi" w:hAnsiTheme="minorHAnsi" w:cstheme="minorHAnsi"/>
          <w:b/>
          <w:color w:val="244D7A"/>
          <w:szCs w:val="24"/>
          <w:lang w:eastAsia="en-GB"/>
        </w:rPr>
      </w:pPr>
      <w:r w:rsidRPr="00D632E9">
        <w:rPr>
          <w:rFonts w:asciiTheme="minorHAnsi" w:hAnsiTheme="minorHAnsi" w:cstheme="minorHAnsi"/>
          <w:b/>
          <w:color w:val="244D7A"/>
          <w:szCs w:val="24"/>
          <w:lang w:eastAsia="en-GB"/>
        </w:rPr>
        <w:t xml:space="preserve">Bulk transfers </w:t>
      </w:r>
      <w:r w:rsidR="00B04275" w:rsidRPr="00D632E9">
        <w:rPr>
          <w:rFonts w:asciiTheme="minorHAnsi" w:hAnsiTheme="minorHAnsi" w:cstheme="minorHAnsi"/>
          <w:b/>
          <w:color w:val="244D7A"/>
          <w:szCs w:val="24"/>
          <w:lang w:eastAsia="en-GB"/>
        </w:rPr>
        <w:t xml:space="preserve">– </w:t>
      </w:r>
      <w:r w:rsidR="00D632E9" w:rsidRPr="00D632E9">
        <w:rPr>
          <w:rFonts w:asciiTheme="minorHAnsi" w:hAnsiTheme="minorHAnsi" w:cstheme="minorHAnsi"/>
          <w:b/>
          <w:color w:val="244D7A"/>
          <w:szCs w:val="24"/>
          <w:lang w:eastAsia="en-GB"/>
        </w:rPr>
        <w:t>o</w:t>
      </w:r>
      <w:r w:rsidR="00B04275" w:rsidRPr="00D632E9">
        <w:rPr>
          <w:rFonts w:asciiTheme="minorHAnsi" w:hAnsiTheme="minorHAnsi" w:cstheme="minorHAnsi"/>
          <w:b/>
          <w:color w:val="244D7A"/>
          <w:szCs w:val="24"/>
          <w:lang w:eastAsia="en-GB"/>
        </w:rPr>
        <w:t xml:space="preserve">verriding </w:t>
      </w:r>
      <w:r w:rsidRPr="00D632E9">
        <w:rPr>
          <w:rFonts w:asciiTheme="minorHAnsi" w:hAnsiTheme="minorHAnsi" w:cstheme="minorHAnsi"/>
          <w:b/>
          <w:color w:val="244D7A"/>
          <w:szCs w:val="24"/>
          <w:lang w:eastAsia="en-GB"/>
        </w:rPr>
        <w:t xml:space="preserve">principles </w:t>
      </w:r>
    </w:p>
    <w:p w14:paraId="2B779D4A" w14:textId="77777777" w:rsidR="00B10838" w:rsidRPr="00D632E9" w:rsidRDefault="00B10838" w:rsidP="00B10838">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The purpose of bulk transfer negotiations is to determine the transfer payment to be paid and the amount of service credits to be awarded when a number of members transfer their benefits from one pension scheme to another.  </w:t>
      </w:r>
    </w:p>
    <w:p w14:paraId="26D9DB61" w14:textId="77777777" w:rsidR="00B10838" w:rsidRPr="00D632E9" w:rsidRDefault="00B10838" w:rsidP="00B10838">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The Fund’s policy is drafted on the basis of the following key principles:</w:t>
      </w:r>
    </w:p>
    <w:p w14:paraId="0EC1D442" w14:textId="77777777" w:rsidR="00B10838" w:rsidRPr="00D632E9" w:rsidRDefault="00B10838" w:rsidP="00EC7ACE">
      <w:pPr>
        <w:pStyle w:val="ListParagraph"/>
        <w:numPr>
          <w:ilvl w:val="0"/>
          <w:numId w:val="7"/>
        </w:numPr>
        <w:autoSpaceDE w:val="0"/>
        <w:autoSpaceDN w:val="0"/>
        <w:adjustRightInd w:val="0"/>
        <w:rPr>
          <w:rFonts w:asciiTheme="minorHAnsi" w:hAnsiTheme="minorHAnsi" w:cstheme="minorHAnsi"/>
          <w:color w:val="auto"/>
          <w:szCs w:val="22"/>
        </w:rPr>
      </w:pPr>
      <w:r w:rsidRPr="00D632E9">
        <w:rPr>
          <w:rFonts w:asciiTheme="minorHAnsi" w:hAnsiTheme="minorHAnsi" w:cstheme="minorHAnsi"/>
          <w:color w:val="auto"/>
          <w:szCs w:val="22"/>
        </w:rPr>
        <w:t>when a group of active scheme members joins the Fund, the Administering Authority’s objective is to ensure, as far as practical that the Fund does not accept an ongoing funding deficit in respect of the transferring employees;</w:t>
      </w:r>
    </w:p>
    <w:p w14:paraId="3CF8AE69" w14:textId="77777777" w:rsidR="00B10838" w:rsidRPr="00D632E9" w:rsidRDefault="00B10838" w:rsidP="00EC7ACE">
      <w:pPr>
        <w:pStyle w:val="ListParagraph"/>
        <w:numPr>
          <w:ilvl w:val="0"/>
          <w:numId w:val="7"/>
        </w:numPr>
        <w:autoSpaceDE w:val="0"/>
        <w:autoSpaceDN w:val="0"/>
        <w:adjustRightInd w:val="0"/>
        <w:rPr>
          <w:rFonts w:asciiTheme="minorHAnsi" w:hAnsiTheme="minorHAnsi" w:cstheme="minorHAnsi"/>
          <w:color w:val="auto"/>
          <w:szCs w:val="22"/>
        </w:rPr>
      </w:pPr>
      <w:r w:rsidRPr="00D632E9">
        <w:rPr>
          <w:rFonts w:asciiTheme="minorHAnsi" w:hAnsiTheme="minorHAnsi" w:cstheme="minorHAnsi"/>
          <w:color w:val="auto"/>
          <w:szCs w:val="22"/>
        </w:rPr>
        <w:t xml:space="preserve">when a group of active scheme members leaves the Fund, in order to protect the funding position in respect of the remaining members, the transfer values in respect of the transferring members should be no more than the assets held in respect of the transferring liabilities, and at most be 100% of the transferring liabilities on the ongoing funding basis as set out in the Funding Strategy Statement; and </w:t>
      </w:r>
    </w:p>
    <w:p w14:paraId="2B47C218" w14:textId="77777777" w:rsidR="00B10838" w:rsidRPr="00D632E9" w:rsidRDefault="00B10838" w:rsidP="00EC7ACE">
      <w:pPr>
        <w:pStyle w:val="ListParagraph"/>
        <w:numPr>
          <w:ilvl w:val="0"/>
          <w:numId w:val="7"/>
        </w:numPr>
        <w:autoSpaceDE w:val="0"/>
        <w:autoSpaceDN w:val="0"/>
        <w:adjustRightInd w:val="0"/>
        <w:rPr>
          <w:rFonts w:asciiTheme="minorHAnsi" w:hAnsiTheme="minorHAnsi" w:cstheme="minorHAnsi"/>
          <w:color w:val="auto"/>
          <w:szCs w:val="22"/>
        </w:rPr>
      </w:pPr>
      <w:r w:rsidRPr="00D632E9">
        <w:rPr>
          <w:rFonts w:asciiTheme="minorHAnsi" w:hAnsiTheme="minorHAnsi" w:cstheme="minorHAnsi"/>
          <w:color w:val="auto"/>
          <w:szCs w:val="22"/>
        </w:rPr>
        <w:t>service credits granted to active scheme members should fully reflect the value of the benefits being transferred, irrespective of the transfer value paid or received.</w:t>
      </w:r>
    </w:p>
    <w:p w14:paraId="4F71FDDE" w14:textId="525821CE" w:rsidR="00A705D8" w:rsidRPr="00EC7ACE" w:rsidRDefault="00B10838" w:rsidP="00EC7ACE">
      <w:pPr>
        <w:pStyle w:val="BodyTextGrey"/>
        <w:numPr>
          <w:ilvl w:val="0"/>
          <w:numId w:val="7"/>
        </w:numPr>
        <w:rPr>
          <w:rFonts w:asciiTheme="minorHAnsi" w:hAnsiTheme="minorHAnsi" w:cstheme="minorHAnsi"/>
          <w:iCs/>
          <w:sz w:val="22"/>
          <w:szCs w:val="22"/>
          <w:lang w:val="en-GB" w:eastAsia="en-GB"/>
        </w:rPr>
      </w:pPr>
      <w:r w:rsidRPr="00D632E9">
        <w:rPr>
          <w:rFonts w:asciiTheme="minorHAnsi" w:hAnsiTheme="minorHAnsi" w:cstheme="minorHAnsi"/>
          <w:szCs w:val="22"/>
        </w:rPr>
        <w:t xml:space="preserve">There is also an overriding objective to ensure that the LGPS Regulations and any supplementary guidance (in particular the Statutory Guidance to Local Authorities on Contracting issued in August 2005 and Fair Deal guidance) as they pertain to bulk transfers are </w:t>
      </w:r>
      <w:r w:rsidRPr="00EC7ACE">
        <w:rPr>
          <w:rFonts w:asciiTheme="minorHAnsi" w:hAnsiTheme="minorHAnsi" w:cstheme="minorHAnsi"/>
          <w:iCs/>
          <w:sz w:val="22"/>
          <w:szCs w:val="22"/>
          <w:lang w:val="en-GB" w:eastAsia="en-GB"/>
        </w:rPr>
        <w:t>adhered to.</w:t>
      </w:r>
    </w:p>
    <w:p w14:paraId="4652EC07" w14:textId="557F0D2B" w:rsidR="00B10838" w:rsidRPr="00DD37FC" w:rsidRDefault="00B10838" w:rsidP="00C64E40">
      <w:pPr>
        <w:pStyle w:val="BodyTextGrey"/>
        <w:rPr>
          <w:rFonts w:ascii="Arial" w:hAnsi="Arial" w:cs="Arial"/>
          <w:color w:val="003300"/>
          <w:szCs w:val="24"/>
          <w:lang w:eastAsia="en-GB"/>
        </w:rPr>
      </w:pPr>
      <w:r w:rsidRPr="00D632E9">
        <w:rPr>
          <w:rFonts w:asciiTheme="minorHAnsi" w:hAnsiTheme="minorHAnsi" w:cstheme="minorHAnsi"/>
          <w:iCs/>
          <w:sz w:val="22"/>
          <w:szCs w:val="22"/>
          <w:lang w:val="en-GB" w:eastAsia="en-GB"/>
        </w:rPr>
        <w:t>It should be noted that, as far as possible, employers should treat the Fund’s preferred terms on bulk transfers as non-negotiable.  Any differences between the value the Fund is prepared to pay (or receive) and that which the other scheme involved is prepared to accept should be dealt with by the employers concerned outside the Fund.</w:t>
      </w:r>
      <w:r w:rsidR="00C64E40" w:rsidRPr="00DD37FC">
        <w:rPr>
          <w:rFonts w:ascii="Arial" w:hAnsi="Arial" w:cs="Arial"/>
          <w:color w:val="003300"/>
          <w:szCs w:val="24"/>
          <w:lang w:eastAsia="en-GB"/>
        </w:rPr>
        <w:t xml:space="preserve"> </w:t>
      </w:r>
    </w:p>
    <w:p w14:paraId="74E9A8B8" w14:textId="77777777" w:rsidR="00C64E40" w:rsidRDefault="00C64E40">
      <w:pPr>
        <w:widowControl/>
        <w:rPr>
          <w:rFonts w:ascii="Calibri" w:hAnsi="Calibri"/>
          <w:b/>
          <w:color w:val="61207F"/>
          <w:kern w:val="28"/>
          <w:szCs w:val="24"/>
          <w:lang w:val="en-GB" w:eastAsia="en-GB"/>
        </w:rPr>
      </w:pPr>
      <w:r>
        <w:rPr>
          <w:szCs w:val="24"/>
          <w:lang w:eastAsia="en-GB"/>
        </w:rPr>
        <w:br w:type="page"/>
      </w:r>
    </w:p>
    <w:p w14:paraId="7635AA19" w14:textId="6AE882AA" w:rsidR="00B10838" w:rsidRPr="00DD37FC" w:rsidRDefault="00B10838" w:rsidP="006700A5">
      <w:pPr>
        <w:pStyle w:val="Heading1Num"/>
        <w:numPr>
          <w:ilvl w:val="0"/>
          <w:numId w:val="0"/>
        </w:numPr>
        <w:ind w:left="567" w:hanging="567"/>
        <w:rPr>
          <w:szCs w:val="24"/>
          <w:lang w:eastAsia="en-GB"/>
        </w:rPr>
      </w:pPr>
      <w:bookmarkStart w:id="43" w:name="_Toc80875400"/>
      <w:r w:rsidRPr="00DD37FC">
        <w:rPr>
          <w:szCs w:val="24"/>
          <w:lang w:eastAsia="en-GB"/>
        </w:rPr>
        <w:t>Appendix 4</w:t>
      </w:r>
      <w:bookmarkEnd w:id="43"/>
      <w:r w:rsidRPr="00DD37FC">
        <w:rPr>
          <w:szCs w:val="24"/>
          <w:lang w:eastAsia="en-GB"/>
        </w:rPr>
        <w:t xml:space="preserve"> </w:t>
      </w:r>
    </w:p>
    <w:p w14:paraId="03CB6DF5" w14:textId="0B61B15E" w:rsidR="00B10838" w:rsidRPr="00D632E9" w:rsidRDefault="00B10838" w:rsidP="007216FD">
      <w:pPr>
        <w:pStyle w:val="Heading2Num"/>
        <w:numPr>
          <w:ilvl w:val="0"/>
          <w:numId w:val="0"/>
        </w:numPr>
        <w:ind w:left="567" w:hanging="567"/>
        <w:rPr>
          <w:szCs w:val="24"/>
        </w:rPr>
      </w:pPr>
      <w:bookmarkStart w:id="44" w:name="_Toc80875401"/>
      <w:r w:rsidRPr="00D632E9">
        <w:rPr>
          <w:iCs w:val="0"/>
          <w:szCs w:val="24"/>
          <w:lang w:val="en-US" w:eastAsia="en-GB"/>
        </w:rPr>
        <w:t xml:space="preserve">Bulk </w:t>
      </w:r>
      <w:r w:rsidR="00D632E9" w:rsidRPr="00D632E9">
        <w:rPr>
          <w:iCs w:val="0"/>
          <w:szCs w:val="24"/>
          <w:lang w:val="en-US" w:eastAsia="en-GB"/>
        </w:rPr>
        <w:t>t</w:t>
      </w:r>
      <w:r w:rsidRPr="00D632E9">
        <w:rPr>
          <w:iCs w:val="0"/>
          <w:szCs w:val="24"/>
          <w:lang w:val="en-US" w:eastAsia="en-GB"/>
        </w:rPr>
        <w:t xml:space="preserve">ransfer </w:t>
      </w:r>
      <w:r w:rsidR="00D632E9" w:rsidRPr="00D632E9">
        <w:rPr>
          <w:iCs w:val="0"/>
          <w:szCs w:val="24"/>
          <w:lang w:val="en-US" w:eastAsia="en-GB"/>
        </w:rPr>
        <w:t>c</w:t>
      </w:r>
      <w:r w:rsidRPr="00D632E9">
        <w:rPr>
          <w:iCs w:val="0"/>
          <w:szCs w:val="24"/>
          <w:lang w:val="en-US" w:eastAsia="en-GB"/>
        </w:rPr>
        <w:t>ircumstances</w:t>
      </w:r>
      <w:bookmarkEnd w:id="44"/>
    </w:p>
    <w:p w14:paraId="2E4600A2" w14:textId="58D2945B" w:rsidR="00B10838" w:rsidRPr="00D632E9" w:rsidRDefault="00B10838" w:rsidP="00B10838">
      <w:pPr>
        <w:pStyle w:val="Heading3"/>
        <w:rPr>
          <w:rFonts w:asciiTheme="minorHAnsi" w:eastAsia="Times New Roman" w:hAnsiTheme="minorHAnsi" w:cstheme="minorHAnsi"/>
          <w:bCs w:val="0"/>
          <w:sz w:val="24"/>
          <w:szCs w:val="24"/>
          <w:lang w:eastAsia="en-GB"/>
        </w:rPr>
      </w:pPr>
      <w:bookmarkStart w:id="45" w:name="_Toc80875402"/>
      <w:r w:rsidRPr="00D632E9">
        <w:rPr>
          <w:rFonts w:asciiTheme="minorHAnsi" w:eastAsia="Times New Roman" w:hAnsiTheme="minorHAnsi" w:cstheme="minorHAnsi"/>
          <w:bCs w:val="0"/>
          <w:sz w:val="24"/>
          <w:szCs w:val="24"/>
          <w:lang w:eastAsia="en-GB"/>
        </w:rPr>
        <w:t xml:space="preserve">Bulk transfers from the </w:t>
      </w:r>
      <w:r w:rsidR="00CC700A" w:rsidRPr="00D632E9">
        <w:rPr>
          <w:rFonts w:asciiTheme="minorHAnsi" w:eastAsia="Times New Roman" w:hAnsiTheme="minorHAnsi" w:cstheme="minorHAnsi"/>
          <w:bCs w:val="0"/>
          <w:sz w:val="24"/>
          <w:szCs w:val="24"/>
          <w:lang w:eastAsia="en-GB"/>
        </w:rPr>
        <w:t>F</w:t>
      </w:r>
      <w:r w:rsidR="00026509" w:rsidRPr="00D632E9">
        <w:rPr>
          <w:rFonts w:asciiTheme="minorHAnsi" w:eastAsia="Times New Roman" w:hAnsiTheme="minorHAnsi" w:cstheme="minorHAnsi"/>
          <w:bCs w:val="0"/>
          <w:sz w:val="24"/>
          <w:szCs w:val="24"/>
          <w:lang w:eastAsia="en-GB"/>
        </w:rPr>
        <w:t>und</w:t>
      </w:r>
      <w:r w:rsidRPr="00D632E9">
        <w:rPr>
          <w:rFonts w:asciiTheme="minorHAnsi" w:eastAsia="Times New Roman" w:hAnsiTheme="minorHAnsi" w:cstheme="minorHAnsi"/>
          <w:bCs w:val="0"/>
          <w:sz w:val="24"/>
          <w:szCs w:val="24"/>
          <w:lang w:eastAsia="en-GB"/>
        </w:rPr>
        <w:t xml:space="preserve"> to </w:t>
      </w:r>
      <w:r w:rsidR="00D632E9">
        <w:rPr>
          <w:rFonts w:asciiTheme="minorHAnsi" w:eastAsia="Times New Roman" w:hAnsiTheme="minorHAnsi" w:cstheme="minorHAnsi"/>
          <w:bCs w:val="0"/>
          <w:sz w:val="24"/>
          <w:szCs w:val="24"/>
          <w:lang w:eastAsia="en-GB"/>
        </w:rPr>
        <w:t>n</w:t>
      </w:r>
      <w:r w:rsidRPr="00D632E9">
        <w:rPr>
          <w:rFonts w:asciiTheme="minorHAnsi" w:eastAsia="Times New Roman" w:hAnsiTheme="minorHAnsi" w:cstheme="minorHAnsi"/>
          <w:bCs w:val="0"/>
          <w:sz w:val="24"/>
          <w:szCs w:val="24"/>
          <w:lang w:eastAsia="en-GB"/>
        </w:rPr>
        <w:t xml:space="preserve">on-LGPS </w:t>
      </w:r>
      <w:r w:rsidR="00D632E9">
        <w:rPr>
          <w:rFonts w:asciiTheme="minorHAnsi" w:eastAsia="Times New Roman" w:hAnsiTheme="minorHAnsi" w:cstheme="minorHAnsi"/>
          <w:bCs w:val="0"/>
          <w:sz w:val="24"/>
          <w:szCs w:val="24"/>
          <w:lang w:eastAsia="en-GB"/>
        </w:rPr>
        <w:t>F</w:t>
      </w:r>
      <w:r w:rsidRPr="00D632E9">
        <w:rPr>
          <w:rFonts w:asciiTheme="minorHAnsi" w:eastAsia="Times New Roman" w:hAnsiTheme="minorHAnsi" w:cstheme="minorHAnsi"/>
          <w:bCs w:val="0"/>
          <w:sz w:val="24"/>
          <w:szCs w:val="24"/>
          <w:lang w:eastAsia="en-GB"/>
        </w:rPr>
        <w:t>unds</w:t>
      </w:r>
      <w:bookmarkEnd w:id="45"/>
    </w:p>
    <w:p w14:paraId="4E931C45" w14:textId="77777777" w:rsidR="00B10838" w:rsidRPr="00D632E9" w:rsidRDefault="00B10838" w:rsidP="00547AB8">
      <w:pPr>
        <w:pStyle w:val="BodyTextGrey"/>
        <w:rPr>
          <w:rFonts w:asciiTheme="minorHAnsi" w:hAnsiTheme="minorHAnsi" w:cstheme="minorHAnsi"/>
          <w:sz w:val="22"/>
          <w:szCs w:val="22"/>
        </w:rPr>
      </w:pPr>
      <w:r w:rsidRPr="00D632E9">
        <w:rPr>
          <w:rFonts w:asciiTheme="minorHAnsi" w:hAnsiTheme="minorHAnsi" w:cstheme="minorHAnsi"/>
          <w:sz w:val="22"/>
          <w:szCs w:val="22"/>
        </w:rPr>
        <w:t xml:space="preserve">Bulk transfers of active scheme members from LGPS employers to approved non-LGPS schemes typically involve the outsourcing of services to a private sector employer with its own approved scheme under a transfer of undertakings (TUPE) or from the reorganisation of central government services (such as the merger of certain government agencies) where the active scheme members transfer to another public service scheme (e.g. NHS, PCSPS etc.).  </w:t>
      </w:r>
    </w:p>
    <w:p w14:paraId="7CB05F99" w14:textId="77777777" w:rsidR="00B10838" w:rsidRPr="00D632E9" w:rsidRDefault="00B10838" w:rsidP="00547AB8">
      <w:pPr>
        <w:pStyle w:val="BodyTextGrey"/>
        <w:rPr>
          <w:rFonts w:asciiTheme="minorHAnsi" w:hAnsiTheme="minorHAnsi" w:cstheme="minorHAnsi"/>
          <w:sz w:val="22"/>
          <w:szCs w:val="22"/>
        </w:rPr>
      </w:pPr>
      <w:r w:rsidRPr="00D632E9">
        <w:rPr>
          <w:rFonts w:asciiTheme="minorHAnsi" w:hAnsiTheme="minorHAnsi" w:cstheme="minorHAnsi"/>
          <w:sz w:val="22"/>
          <w:szCs w:val="22"/>
        </w:rPr>
        <w:t xml:space="preserve">Regulation </w:t>
      </w:r>
      <w:r w:rsidR="000D479F" w:rsidRPr="00D632E9">
        <w:rPr>
          <w:rFonts w:asciiTheme="minorHAnsi" w:hAnsiTheme="minorHAnsi" w:cstheme="minorHAnsi"/>
          <w:sz w:val="22"/>
          <w:szCs w:val="22"/>
        </w:rPr>
        <w:t>98</w:t>
      </w:r>
      <w:r w:rsidRPr="00D632E9">
        <w:rPr>
          <w:rFonts w:asciiTheme="minorHAnsi" w:hAnsiTheme="minorHAnsi" w:cstheme="minorHAnsi"/>
          <w:sz w:val="22"/>
          <w:szCs w:val="22"/>
        </w:rPr>
        <w:t xml:space="preserve"> of the Local Government Pension Scheme Regulations 20</w:t>
      </w:r>
      <w:r w:rsidR="000D479F" w:rsidRPr="00D632E9">
        <w:rPr>
          <w:rFonts w:asciiTheme="minorHAnsi" w:hAnsiTheme="minorHAnsi" w:cstheme="minorHAnsi"/>
          <w:sz w:val="22"/>
          <w:szCs w:val="22"/>
        </w:rPr>
        <w:t>13</w:t>
      </w:r>
      <w:r w:rsidRPr="00D632E9">
        <w:rPr>
          <w:rFonts w:asciiTheme="minorHAnsi" w:hAnsiTheme="minorHAnsi" w:cstheme="minorHAnsi"/>
          <w:sz w:val="22"/>
          <w:szCs w:val="22"/>
        </w:rPr>
        <w:t xml:space="preserve"> </w:t>
      </w:r>
      <w:r w:rsidR="000D479F" w:rsidRPr="00D632E9">
        <w:rPr>
          <w:rFonts w:asciiTheme="minorHAnsi" w:hAnsiTheme="minorHAnsi" w:cstheme="minorHAnsi"/>
          <w:sz w:val="22"/>
          <w:szCs w:val="22"/>
        </w:rPr>
        <w:t xml:space="preserve">(“The Regulations”) </w:t>
      </w:r>
      <w:r w:rsidRPr="00D632E9">
        <w:rPr>
          <w:rFonts w:asciiTheme="minorHAnsi" w:hAnsiTheme="minorHAnsi" w:cstheme="minorHAnsi"/>
          <w:sz w:val="22"/>
          <w:szCs w:val="22"/>
        </w:rPr>
        <w:t xml:space="preserve">governs the bulk transfer of members’ pension liabilities out of the LGPS to an approved non-LGPS pension arrangement.  </w:t>
      </w:r>
    </w:p>
    <w:p w14:paraId="15507D4D" w14:textId="1172134A" w:rsidR="00B10838" w:rsidRPr="00D632E9" w:rsidRDefault="00B10838" w:rsidP="00547AB8">
      <w:pPr>
        <w:pStyle w:val="BodyTextGrey"/>
        <w:rPr>
          <w:rFonts w:asciiTheme="minorHAnsi" w:hAnsiTheme="minorHAnsi" w:cstheme="minorHAnsi"/>
          <w:sz w:val="22"/>
          <w:szCs w:val="22"/>
        </w:rPr>
      </w:pPr>
      <w:r w:rsidRPr="00D632E9">
        <w:rPr>
          <w:rFonts w:asciiTheme="minorHAnsi" w:hAnsiTheme="minorHAnsi" w:cstheme="minorHAnsi"/>
          <w:sz w:val="22"/>
          <w:szCs w:val="22"/>
        </w:rPr>
        <w:t xml:space="preserve">Regulation </w:t>
      </w:r>
      <w:r w:rsidR="000D479F" w:rsidRPr="00D632E9">
        <w:rPr>
          <w:rFonts w:asciiTheme="minorHAnsi" w:hAnsiTheme="minorHAnsi" w:cstheme="minorHAnsi"/>
          <w:sz w:val="22"/>
          <w:szCs w:val="22"/>
        </w:rPr>
        <w:t>98</w:t>
      </w:r>
      <w:r w:rsidRPr="00D632E9">
        <w:rPr>
          <w:rFonts w:asciiTheme="minorHAnsi" w:hAnsiTheme="minorHAnsi" w:cstheme="minorHAnsi"/>
          <w:sz w:val="22"/>
          <w:szCs w:val="22"/>
        </w:rPr>
        <w:t xml:space="preserve"> allows for the payment of a bulk transfer value where at least two active members of the LGPS cease scheme membership and join another approved pension arrangement.  The transferring and receiving schemes and the employer must agree that a bulk transfer will be made.  If there is no agreement</w:t>
      </w:r>
      <w:r w:rsidR="00CA511F">
        <w:rPr>
          <w:rFonts w:asciiTheme="minorHAnsi" w:hAnsiTheme="minorHAnsi" w:cstheme="minorHAnsi"/>
          <w:sz w:val="22"/>
          <w:szCs w:val="22"/>
        </w:rPr>
        <w:t>,</w:t>
      </w:r>
      <w:r w:rsidRPr="00D632E9">
        <w:rPr>
          <w:rFonts w:asciiTheme="minorHAnsi" w:hAnsiTheme="minorHAnsi" w:cstheme="minorHAnsi"/>
          <w:sz w:val="22"/>
          <w:szCs w:val="22"/>
        </w:rPr>
        <w:t xml:space="preserve"> then our understanding is that the standard cash equivalent transfer basis would apply if the active scheme member elected to transfer his or her accrued rights.  </w:t>
      </w:r>
    </w:p>
    <w:p w14:paraId="4BE3AB3E" w14:textId="77777777" w:rsidR="00B10838" w:rsidRPr="00D632E9" w:rsidRDefault="00B10838" w:rsidP="00547AB8">
      <w:pPr>
        <w:pStyle w:val="BodyTextGrey"/>
        <w:rPr>
          <w:rFonts w:asciiTheme="minorHAnsi" w:hAnsiTheme="minorHAnsi" w:cstheme="minorHAnsi"/>
          <w:sz w:val="22"/>
          <w:szCs w:val="22"/>
        </w:rPr>
      </w:pPr>
      <w:r w:rsidRPr="00D632E9">
        <w:rPr>
          <w:rFonts w:asciiTheme="minorHAnsi" w:hAnsiTheme="minorHAnsi" w:cstheme="minorHAnsi"/>
          <w:sz w:val="22"/>
          <w:szCs w:val="22"/>
        </w:rPr>
        <w:t xml:space="preserve">The 2003 ODPM Code of Practice on Workforce matters requires that the new employer’s pension scheme allows the employees transferring their accrued rights from the LGPS to do so on a fully protected basis. Our interpretation is that this refers to protection of the benefits (i.e. value of service credits) not the amount of the bulk transfer since no reference is made to the bulk transfer payment having to reflect that fully protected basis. </w:t>
      </w:r>
    </w:p>
    <w:p w14:paraId="782D532B" w14:textId="77777777" w:rsidR="00B10838" w:rsidRPr="00D632E9" w:rsidRDefault="00B10838" w:rsidP="00547AB8">
      <w:pPr>
        <w:pStyle w:val="BodyTextGrey"/>
        <w:rPr>
          <w:rFonts w:asciiTheme="minorHAnsi" w:hAnsiTheme="minorHAnsi" w:cstheme="minorHAnsi"/>
          <w:sz w:val="22"/>
          <w:szCs w:val="22"/>
        </w:rPr>
      </w:pPr>
      <w:r w:rsidRPr="00D632E9">
        <w:rPr>
          <w:rFonts w:asciiTheme="minorHAnsi" w:hAnsiTheme="minorHAnsi" w:cstheme="minorHAnsi"/>
          <w:sz w:val="22"/>
          <w:szCs w:val="22"/>
        </w:rPr>
        <w:t xml:space="preserve">For any bulk transfer the </w:t>
      </w:r>
      <w:r w:rsidR="00CC700A" w:rsidRPr="00D632E9">
        <w:rPr>
          <w:rFonts w:asciiTheme="minorHAnsi" w:hAnsiTheme="minorHAnsi" w:cstheme="minorHAnsi"/>
          <w:sz w:val="22"/>
          <w:szCs w:val="22"/>
        </w:rPr>
        <w:t>F</w:t>
      </w:r>
      <w:r w:rsidR="00026509" w:rsidRPr="00D632E9">
        <w:rPr>
          <w:rFonts w:asciiTheme="minorHAnsi" w:hAnsiTheme="minorHAnsi" w:cstheme="minorHAnsi"/>
          <w:sz w:val="22"/>
          <w:szCs w:val="22"/>
        </w:rPr>
        <w:t>und</w:t>
      </w:r>
      <w:r w:rsidRPr="00D632E9">
        <w:rPr>
          <w:rFonts w:asciiTheme="minorHAnsi" w:hAnsiTheme="minorHAnsi" w:cstheme="minorHAnsi"/>
          <w:sz w:val="22"/>
          <w:szCs w:val="22"/>
        </w:rPr>
        <w:t xml:space="preserve">’s administrators must also obtain members’ consent to be part of the bulk transfer.  </w:t>
      </w:r>
    </w:p>
    <w:p w14:paraId="7DDC9D2A" w14:textId="77777777" w:rsidR="00B10838" w:rsidRPr="00D632E9" w:rsidRDefault="00B10838" w:rsidP="00547AB8">
      <w:pPr>
        <w:pStyle w:val="BodyTextGrey"/>
        <w:rPr>
          <w:rFonts w:asciiTheme="minorHAnsi" w:hAnsiTheme="minorHAnsi" w:cstheme="minorHAnsi"/>
          <w:sz w:val="22"/>
          <w:szCs w:val="22"/>
          <w:lang w:val="en-GB" w:eastAsia="en-GB"/>
        </w:rPr>
      </w:pPr>
      <w:r w:rsidRPr="00D632E9">
        <w:rPr>
          <w:rFonts w:asciiTheme="minorHAnsi" w:hAnsiTheme="minorHAnsi" w:cstheme="minorHAnsi"/>
          <w:sz w:val="22"/>
          <w:szCs w:val="22"/>
        </w:rPr>
        <w:t>The Regulations give the</w:t>
      </w:r>
      <w:r w:rsidR="000D479F" w:rsidRPr="00D632E9">
        <w:rPr>
          <w:rFonts w:asciiTheme="minorHAnsi" w:hAnsiTheme="minorHAnsi" w:cstheme="minorHAnsi"/>
          <w:sz w:val="22"/>
          <w:szCs w:val="22"/>
        </w:rPr>
        <w:t xml:space="preserve"> </w:t>
      </w:r>
      <w:r w:rsidR="00CC700A" w:rsidRPr="00D632E9">
        <w:rPr>
          <w:rFonts w:asciiTheme="minorHAnsi" w:hAnsiTheme="minorHAnsi" w:cstheme="minorHAnsi"/>
          <w:sz w:val="22"/>
          <w:szCs w:val="22"/>
        </w:rPr>
        <w:t>F</w:t>
      </w:r>
      <w:r w:rsidR="00026509" w:rsidRPr="00D632E9">
        <w:rPr>
          <w:rFonts w:asciiTheme="minorHAnsi" w:hAnsiTheme="minorHAnsi" w:cstheme="minorHAnsi"/>
          <w:sz w:val="22"/>
          <w:szCs w:val="22"/>
        </w:rPr>
        <w:t>und</w:t>
      </w:r>
      <w:r w:rsidR="000D479F" w:rsidRPr="00D632E9">
        <w:rPr>
          <w:rFonts w:asciiTheme="minorHAnsi" w:hAnsiTheme="minorHAnsi" w:cstheme="minorHAnsi"/>
          <w:sz w:val="22"/>
          <w:szCs w:val="22"/>
        </w:rPr>
        <w:t>’s</w:t>
      </w:r>
      <w:r w:rsidRPr="00D632E9">
        <w:rPr>
          <w:rFonts w:asciiTheme="minorHAnsi" w:hAnsiTheme="minorHAnsi" w:cstheme="minorHAnsi"/>
          <w:sz w:val="22"/>
          <w:szCs w:val="22"/>
        </w:rPr>
        <w:t xml:space="preserve"> actuary discretion as to the calculation of the bulk transfer value. </w:t>
      </w:r>
      <w:r w:rsidR="000D479F" w:rsidRPr="00D632E9">
        <w:rPr>
          <w:rFonts w:asciiTheme="minorHAnsi" w:hAnsiTheme="minorHAnsi" w:cstheme="minorHAnsi"/>
          <w:sz w:val="22"/>
          <w:szCs w:val="22"/>
        </w:rPr>
        <w:t>T</w:t>
      </w:r>
      <w:r w:rsidRPr="00D632E9">
        <w:rPr>
          <w:rFonts w:asciiTheme="minorHAnsi" w:hAnsiTheme="minorHAnsi" w:cstheme="minorHAnsi"/>
          <w:sz w:val="22"/>
          <w:szCs w:val="22"/>
        </w:rPr>
        <w:t xml:space="preserve">his means that, when paying bulk transfers from the </w:t>
      </w:r>
      <w:r w:rsidR="00CC700A" w:rsidRPr="00D632E9">
        <w:rPr>
          <w:rFonts w:asciiTheme="minorHAnsi" w:hAnsiTheme="minorHAnsi" w:cstheme="minorHAnsi"/>
          <w:sz w:val="22"/>
          <w:szCs w:val="22"/>
        </w:rPr>
        <w:t>F</w:t>
      </w:r>
      <w:r w:rsidR="00026509" w:rsidRPr="00D632E9">
        <w:rPr>
          <w:rFonts w:asciiTheme="minorHAnsi" w:hAnsiTheme="minorHAnsi" w:cstheme="minorHAnsi"/>
          <w:sz w:val="22"/>
          <w:szCs w:val="22"/>
        </w:rPr>
        <w:t>und</w:t>
      </w:r>
      <w:r w:rsidRPr="00D632E9">
        <w:rPr>
          <w:rFonts w:asciiTheme="minorHAnsi" w:hAnsiTheme="minorHAnsi" w:cstheme="minorHAnsi"/>
          <w:sz w:val="22"/>
          <w:szCs w:val="22"/>
        </w:rPr>
        <w:t xml:space="preserve"> to a non-local-government scheme, it is possible for the calculation to be structured so as to minimise the risk of the transfer value exceeding the share of the </w:t>
      </w:r>
      <w:r w:rsidR="00CC700A" w:rsidRPr="00D632E9">
        <w:rPr>
          <w:rFonts w:asciiTheme="minorHAnsi" w:hAnsiTheme="minorHAnsi" w:cstheme="minorHAnsi"/>
          <w:sz w:val="22"/>
          <w:szCs w:val="22"/>
        </w:rPr>
        <w:t>F</w:t>
      </w:r>
      <w:r w:rsidR="00026509" w:rsidRPr="00D632E9">
        <w:rPr>
          <w:rFonts w:asciiTheme="minorHAnsi" w:hAnsiTheme="minorHAnsi" w:cstheme="minorHAnsi"/>
          <w:sz w:val="22"/>
          <w:szCs w:val="22"/>
        </w:rPr>
        <w:t>und</w:t>
      </w:r>
      <w:r w:rsidRPr="00D632E9">
        <w:rPr>
          <w:rFonts w:asciiTheme="minorHAnsi" w:hAnsiTheme="minorHAnsi" w:cstheme="minorHAnsi"/>
          <w:sz w:val="22"/>
          <w:szCs w:val="22"/>
        </w:rPr>
        <w:t xml:space="preserve"> assets attributable to the transferring liabilities</w:t>
      </w:r>
      <w:r w:rsidRPr="00D632E9">
        <w:rPr>
          <w:rFonts w:asciiTheme="minorHAnsi" w:hAnsiTheme="minorHAnsi" w:cstheme="minorHAnsi"/>
          <w:sz w:val="22"/>
          <w:szCs w:val="22"/>
          <w:vertAlign w:val="superscript"/>
          <w:lang w:val="en-GB" w:eastAsia="en-GB"/>
        </w:rPr>
        <w:footnoteReference w:id="2"/>
      </w:r>
      <w:r w:rsidRPr="00D632E9">
        <w:rPr>
          <w:rFonts w:asciiTheme="minorHAnsi" w:hAnsiTheme="minorHAnsi" w:cstheme="minorHAnsi"/>
          <w:sz w:val="22"/>
          <w:szCs w:val="22"/>
          <w:lang w:val="en-GB" w:eastAsia="en-GB"/>
        </w:rPr>
        <w:t>.</w:t>
      </w:r>
    </w:p>
    <w:p w14:paraId="138660E7" w14:textId="600DBEF2" w:rsidR="00B10838" w:rsidRPr="00D632E9" w:rsidRDefault="00B10838" w:rsidP="00B10838">
      <w:pPr>
        <w:pStyle w:val="Heading3"/>
        <w:rPr>
          <w:rFonts w:asciiTheme="minorHAnsi" w:eastAsia="Times New Roman" w:hAnsiTheme="minorHAnsi" w:cstheme="minorHAnsi"/>
          <w:bCs w:val="0"/>
          <w:sz w:val="24"/>
          <w:szCs w:val="24"/>
          <w:lang w:eastAsia="en-GB"/>
        </w:rPr>
      </w:pPr>
      <w:bookmarkStart w:id="46" w:name="_Toc80875403"/>
      <w:r w:rsidRPr="00D632E9">
        <w:rPr>
          <w:rFonts w:asciiTheme="minorHAnsi" w:eastAsia="Times New Roman" w:hAnsiTheme="minorHAnsi" w:cstheme="minorHAnsi"/>
          <w:bCs w:val="0"/>
          <w:sz w:val="24"/>
          <w:szCs w:val="24"/>
          <w:lang w:eastAsia="en-GB"/>
        </w:rPr>
        <w:t>Bulk transfers between</w:t>
      </w:r>
      <w:r w:rsidR="00C25554" w:rsidRPr="00D632E9">
        <w:rPr>
          <w:rFonts w:asciiTheme="minorHAnsi" w:eastAsia="Times New Roman" w:hAnsiTheme="minorHAnsi" w:cstheme="minorHAnsi"/>
          <w:bCs w:val="0"/>
          <w:sz w:val="24"/>
          <w:szCs w:val="24"/>
          <w:lang w:eastAsia="en-GB"/>
        </w:rPr>
        <w:t xml:space="preserve"> LGPS </w:t>
      </w:r>
      <w:r w:rsidR="00D632E9" w:rsidRPr="00D632E9">
        <w:rPr>
          <w:rFonts w:asciiTheme="minorHAnsi" w:eastAsia="Times New Roman" w:hAnsiTheme="minorHAnsi" w:cstheme="minorHAnsi"/>
          <w:bCs w:val="0"/>
          <w:sz w:val="24"/>
          <w:szCs w:val="24"/>
          <w:lang w:eastAsia="en-GB"/>
        </w:rPr>
        <w:t>F</w:t>
      </w:r>
      <w:r w:rsidR="00C25554" w:rsidRPr="00D632E9">
        <w:rPr>
          <w:rFonts w:asciiTheme="minorHAnsi" w:eastAsia="Times New Roman" w:hAnsiTheme="minorHAnsi" w:cstheme="minorHAnsi"/>
          <w:bCs w:val="0"/>
          <w:sz w:val="24"/>
          <w:szCs w:val="24"/>
          <w:lang w:eastAsia="en-GB"/>
        </w:rPr>
        <w:t xml:space="preserve">unds within </w:t>
      </w:r>
      <w:r w:rsidRPr="00D632E9">
        <w:rPr>
          <w:rFonts w:asciiTheme="minorHAnsi" w:eastAsia="Times New Roman" w:hAnsiTheme="minorHAnsi" w:cstheme="minorHAnsi"/>
          <w:bCs w:val="0"/>
          <w:sz w:val="24"/>
          <w:szCs w:val="24"/>
          <w:lang w:eastAsia="en-GB"/>
        </w:rPr>
        <w:t xml:space="preserve">England and Wales: </w:t>
      </w:r>
      <w:r w:rsidR="00D632E9" w:rsidRPr="00D632E9">
        <w:rPr>
          <w:rFonts w:asciiTheme="minorHAnsi" w:eastAsia="Times New Roman" w:hAnsiTheme="minorHAnsi" w:cstheme="minorHAnsi"/>
          <w:bCs w:val="0"/>
          <w:sz w:val="24"/>
          <w:szCs w:val="24"/>
          <w:lang w:eastAsia="en-GB"/>
        </w:rPr>
        <w:t>c</w:t>
      </w:r>
      <w:r w:rsidRPr="00D632E9">
        <w:rPr>
          <w:rFonts w:asciiTheme="minorHAnsi" w:eastAsia="Times New Roman" w:hAnsiTheme="minorHAnsi" w:cstheme="minorHAnsi"/>
          <w:bCs w:val="0"/>
          <w:sz w:val="24"/>
          <w:szCs w:val="24"/>
          <w:lang w:eastAsia="en-GB"/>
        </w:rPr>
        <w:t xml:space="preserve">hanges in </w:t>
      </w:r>
      <w:r w:rsidR="00026509" w:rsidRPr="00D632E9">
        <w:rPr>
          <w:rFonts w:asciiTheme="minorHAnsi" w:eastAsia="Times New Roman" w:hAnsiTheme="minorHAnsi" w:cstheme="minorHAnsi"/>
          <w:bCs w:val="0"/>
          <w:sz w:val="24"/>
          <w:szCs w:val="24"/>
          <w:lang w:eastAsia="en-GB"/>
        </w:rPr>
        <w:t xml:space="preserve">the </w:t>
      </w:r>
      <w:r w:rsidR="00CC700A" w:rsidRPr="00D632E9">
        <w:rPr>
          <w:rFonts w:asciiTheme="minorHAnsi" w:eastAsia="Times New Roman" w:hAnsiTheme="minorHAnsi" w:cstheme="minorHAnsi"/>
          <w:bCs w:val="0"/>
          <w:sz w:val="24"/>
          <w:szCs w:val="24"/>
          <w:lang w:eastAsia="en-GB"/>
        </w:rPr>
        <w:t>F</w:t>
      </w:r>
      <w:r w:rsidR="00026509" w:rsidRPr="00D632E9">
        <w:rPr>
          <w:rFonts w:asciiTheme="minorHAnsi" w:eastAsia="Times New Roman" w:hAnsiTheme="minorHAnsi" w:cstheme="minorHAnsi"/>
          <w:bCs w:val="0"/>
          <w:sz w:val="24"/>
          <w:szCs w:val="24"/>
          <w:lang w:eastAsia="en-GB"/>
        </w:rPr>
        <w:t>und</w:t>
      </w:r>
      <w:bookmarkEnd w:id="46"/>
    </w:p>
    <w:p w14:paraId="25402F26" w14:textId="77777777" w:rsidR="00B10838" w:rsidRPr="00D632E9" w:rsidRDefault="00B10838" w:rsidP="00B10838">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Transfers of membership between different LGPS funds commonly occur when employers within one council area expand into or merge with employers in another council area and/or LGPS fund.  </w:t>
      </w:r>
    </w:p>
    <w:p w14:paraId="2A5D853F" w14:textId="77777777" w:rsidR="00B10838" w:rsidRPr="00D632E9" w:rsidRDefault="00B10838" w:rsidP="00B10838">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Regulation </w:t>
      </w:r>
      <w:r w:rsidR="00C25554" w:rsidRPr="00D632E9">
        <w:rPr>
          <w:rFonts w:asciiTheme="minorHAnsi" w:hAnsiTheme="minorHAnsi" w:cstheme="minorHAnsi"/>
          <w:iCs/>
          <w:sz w:val="22"/>
          <w:szCs w:val="22"/>
          <w:lang w:val="en-GB" w:eastAsia="en-GB"/>
        </w:rPr>
        <w:t>103 of Th</w:t>
      </w:r>
      <w:r w:rsidRPr="00D632E9">
        <w:rPr>
          <w:rFonts w:asciiTheme="minorHAnsi" w:hAnsiTheme="minorHAnsi" w:cstheme="minorHAnsi"/>
          <w:iCs/>
          <w:sz w:val="22"/>
          <w:szCs w:val="22"/>
          <w:lang w:val="en-GB" w:eastAsia="en-GB"/>
        </w:rPr>
        <w:t xml:space="preserve">e </w:t>
      </w:r>
      <w:r w:rsidR="00C25554" w:rsidRPr="00D632E9">
        <w:rPr>
          <w:rFonts w:asciiTheme="minorHAnsi" w:hAnsiTheme="minorHAnsi" w:cstheme="minorHAnsi"/>
          <w:iCs/>
          <w:sz w:val="22"/>
          <w:szCs w:val="22"/>
          <w:lang w:val="en-GB" w:eastAsia="en-GB"/>
        </w:rPr>
        <w:t>Regulations</w:t>
      </w:r>
      <w:r w:rsidRPr="00D632E9">
        <w:rPr>
          <w:rFonts w:asciiTheme="minorHAnsi" w:hAnsiTheme="minorHAnsi" w:cstheme="minorHAnsi"/>
          <w:iCs/>
          <w:sz w:val="22"/>
          <w:szCs w:val="22"/>
          <w:lang w:val="en-GB" w:eastAsia="en-GB"/>
        </w:rPr>
        <w:t xml:space="preserve"> governs the bulk transfer of members’ pension liabilities between</w:t>
      </w:r>
      <w:r w:rsidR="00C25554" w:rsidRPr="00D632E9">
        <w:rPr>
          <w:rFonts w:asciiTheme="minorHAnsi" w:hAnsiTheme="minorHAnsi" w:cstheme="minorHAnsi"/>
          <w:iCs/>
          <w:sz w:val="22"/>
          <w:szCs w:val="22"/>
          <w:lang w:val="en-GB" w:eastAsia="en-GB"/>
        </w:rPr>
        <w:t xml:space="preserve"> funds within England &amp; Wales</w:t>
      </w:r>
      <w:r w:rsidRPr="00D632E9">
        <w:rPr>
          <w:rFonts w:asciiTheme="minorHAnsi" w:hAnsiTheme="minorHAnsi" w:cstheme="minorHAnsi"/>
          <w:iCs/>
          <w:sz w:val="22"/>
          <w:szCs w:val="22"/>
          <w:lang w:val="en-GB" w:eastAsia="en-GB"/>
        </w:rPr>
        <w:t xml:space="preserve">. Regulation 86 requires a bulk transfer to be agreed between the actuaries to the transferring and receiving scheme where 10 or more members are affected by virtue of a single event.  </w:t>
      </w:r>
    </w:p>
    <w:p w14:paraId="60CD7D74" w14:textId="77777777" w:rsidR="00B10838" w:rsidRPr="00D632E9" w:rsidRDefault="00B10838" w:rsidP="00B10838">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 xml:space="preserve">The Regulations require the actuaries to each fund to agree on the amount of the bulk transfer payment to be made.  If agreement is not reached within 12 months then the matter </w:t>
      </w:r>
      <w:r w:rsidR="00907F96" w:rsidRPr="00D632E9">
        <w:rPr>
          <w:rFonts w:asciiTheme="minorHAnsi" w:hAnsiTheme="minorHAnsi" w:cstheme="minorHAnsi"/>
          <w:iCs/>
          <w:sz w:val="22"/>
          <w:szCs w:val="22"/>
          <w:lang w:val="en-GB" w:eastAsia="en-GB"/>
        </w:rPr>
        <w:t xml:space="preserve">may be </w:t>
      </w:r>
      <w:r w:rsidRPr="00D632E9">
        <w:rPr>
          <w:rFonts w:asciiTheme="minorHAnsi" w:hAnsiTheme="minorHAnsi" w:cstheme="minorHAnsi"/>
          <w:iCs/>
          <w:sz w:val="22"/>
          <w:szCs w:val="22"/>
          <w:lang w:val="en-GB" w:eastAsia="en-GB"/>
        </w:rPr>
        <w:t>referred to a third actuary chosen by the two actuaries or, if they cannot agree, to an actuary chosen by the President of the Faculty and Institute of Actuaries and his decision will be final.</w:t>
      </w:r>
    </w:p>
    <w:p w14:paraId="4652B47D" w14:textId="77777777" w:rsidR="00B10838" w:rsidRPr="00D632E9" w:rsidRDefault="00B10838" w:rsidP="00B10838">
      <w:pPr>
        <w:pStyle w:val="BodyTextGrey"/>
        <w:rPr>
          <w:rFonts w:asciiTheme="minorHAnsi" w:hAnsiTheme="minorHAnsi" w:cstheme="minorHAnsi"/>
          <w:iCs/>
          <w:sz w:val="22"/>
          <w:szCs w:val="22"/>
          <w:lang w:val="en-GB" w:eastAsia="en-GB"/>
        </w:rPr>
      </w:pPr>
      <w:r w:rsidRPr="00D632E9">
        <w:rPr>
          <w:rFonts w:asciiTheme="minorHAnsi" w:hAnsiTheme="minorHAnsi" w:cstheme="minorHAnsi"/>
          <w:iCs/>
          <w:sz w:val="22"/>
          <w:szCs w:val="22"/>
          <w:lang w:val="en-GB" w:eastAsia="en-GB"/>
        </w:rPr>
        <w:t>The active scheme member will be credited with the same period of service in the</w:t>
      </w:r>
      <w:r w:rsidRPr="00DD37FC">
        <w:rPr>
          <w:rFonts w:ascii="Arial" w:hAnsi="Arial" w:cs="Arial"/>
          <w:iCs/>
          <w:szCs w:val="24"/>
          <w:lang w:val="en-GB" w:eastAsia="en-GB"/>
        </w:rPr>
        <w:t xml:space="preserve"> </w:t>
      </w:r>
      <w:r w:rsidRPr="00D632E9">
        <w:rPr>
          <w:rFonts w:asciiTheme="minorHAnsi" w:hAnsiTheme="minorHAnsi" w:cstheme="minorHAnsi"/>
          <w:iCs/>
          <w:sz w:val="22"/>
          <w:szCs w:val="22"/>
          <w:lang w:val="en-GB" w:eastAsia="en-GB"/>
        </w:rPr>
        <w:t xml:space="preserve">new fund as he or she had accrued in the </w:t>
      </w:r>
      <w:r w:rsidR="00CC700A" w:rsidRPr="00D632E9">
        <w:rPr>
          <w:rFonts w:asciiTheme="minorHAnsi" w:hAnsiTheme="minorHAnsi" w:cstheme="minorHAnsi"/>
          <w:iCs/>
          <w:sz w:val="22"/>
          <w:szCs w:val="22"/>
          <w:lang w:val="en-GB" w:eastAsia="en-GB"/>
        </w:rPr>
        <w:t>F</w:t>
      </w:r>
      <w:r w:rsidR="00026509" w:rsidRPr="00D632E9">
        <w:rPr>
          <w:rFonts w:asciiTheme="minorHAnsi" w:hAnsiTheme="minorHAnsi" w:cstheme="minorHAnsi"/>
          <w:iCs/>
          <w:sz w:val="22"/>
          <w:szCs w:val="22"/>
          <w:lang w:val="en-GB" w:eastAsia="en-GB"/>
        </w:rPr>
        <w:t>und</w:t>
      </w:r>
      <w:r w:rsidRPr="00D632E9">
        <w:rPr>
          <w:rFonts w:asciiTheme="minorHAnsi" w:hAnsiTheme="minorHAnsi" w:cstheme="minorHAnsi"/>
          <w:iCs/>
          <w:sz w:val="22"/>
          <w:szCs w:val="22"/>
          <w:lang w:val="en-GB" w:eastAsia="en-GB"/>
        </w:rPr>
        <w:t xml:space="preserve"> so there is no discretion to award anything other than day-for-day service credits.</w:t>
      </w:r>
    </w:p>
    <w:p w14:paraId="6DE30815" w14:textId="39CFF82D" w:rsidR="00B10838" w:rsidRPr="00824F55" w:rsidRDefault="00824F55" w:rsidP="00B10838">
      <w:pPr>
        <w:pStyle w:val="Heading3"/>
        <w:rPr>
          <w:rFonts w:asciiTheme="minorHAnsi" w:eastAsia="Times New Roman" w:hAnsiTheme="minorHAnsi" w:cstheme="minorHAnsi"/>
          <w:bCs w:val="0"/>
          <w:sz w:val="24"/>
          <w:szCs w:val="24"/>
          <w:lang w:eastAsia="en-GB"/>
        </w:rPr>
      </w:pPr>
      <w:bookmarkStart w:id="47" w:name="_Toc80875404"/>
      <w:r>
        <w:rPr>
          <w:rFonts w:asciiTheme="minorHAnsi" w:eastAsia="Times New Roman" w:hAnsiTheme="minorHAnsi" w:cstheme="minorHAnsi"/>
          <w:bCs w:val="0"/>
          <w:sz w:val="24"/>
          <w:szCs w:val="24"/>
          <w:lang w:eastAsia="en-GB"/>
        </w:rPr>
        <w:t>Bulk t</w:t>
      </w:r>
      <w:r w:rsidR="00B10838" w:rsidRPr="00824F55">
        <w:rPr>
          <w:rFonts w:asciiTheme="minorHAnsi" w:eastAsia="Times New Roman" w:hAnsiTheme="minorHAnsi" w:cstheme="minorHAnsi"/>
          <w:bCs w:val="0"/>
          <w:sz w:val="24"/>
          <w:szCs w:val="24"/>
          <w:lang w:eastAsia="en-GB"/>
        </w:rPr>
        <w:t xml:space="preserve">ransfers between employers in </w:t>
      </w:r>
      <w:r w:rsidR="00CC700A" w:rsidRPr="00824F55">
        <w:rPr>
          <w:rFonts w:asciiTheme="minorHAnsi" w:eastAsia="Times New Roman" w:hAnsiTheme="minorHAnsi" w:cstheme="minorHAnsi"/>
          <w:bCs w:val="0"/>
          <w:sz w:val="24"/>
          <w:szCs w:val="24"/>
          <w:lang w:eastAsia="en-GB"/>
        </w:rPr>
        <w:t>F</w:t>
      </w:r>
      <w:r w:rsidR="00026509" w:rsidRPr="00824F55">
        <w:rPr>
          <w:rFonts w:asciiTheme="minorHAnsi" w:eastAsia="Times New Roman" w:hAnsiTheme="minorHAnsi" w:cstheme="minorHAnsi"/>
          <w:bCs w:val="0"/>
          <w:sz w:val="24"/>
          <w:szCs w:val="24"/>
          <w:lang w:eastAsia="en-GB"/>
        </w:rPr>
        <w:t>und</w:t>
      </w:r>
      <w:bookmarkEnd w:id="47"/>
    </w:p>
    <w:p w14:paraId="39BA0451" w14:textId="77777777" w:rsidR="00B10838" w:rsidRPr="00824F55" w:rsidRDefault="00B10838" w:rsidP="00B10838">
      <w:pPr>
        <w:pStyle w:val="BodyTextGrey"/>
        <w:rPr>
          <w:rFonts w:asciiTheme="minorHAnsi" w:hAnsiTheme="minorHAnsi" w:cstheme="minorHAnsi"/>
          <w:iCs/>
          <w:sz w:val="22"/>
          <w:szCs w:val="22"/>
          <w:lang w:val="en-GB" w:eastAsia="en-GB"/>
        </w:rPr>
      </w:pPr>
      <w:r w:rsidRPr="00824F55">
        <w:rPr>
          <w:rFonts w:asciiTheme="minorHAnsi" w:hAnsiTheme="minorHAnsi" w:cstheme="minorHAnsi"/>
          <w:iCs/>
          <w:sz w:val="22"/>
          <w:szCs w:val="22"/>
          <w:lang w:val="en-GB" w:eastAsia="en-GB"/>
        </w:rPr>
        <w:t xml:space="preserve">Bulk transfers between employers within the </w:t>
      </w:r>
      <w:r w:rsidR="00CC700A" w:rsidRPr="00824F55">
        <w:rPr>
          <w:rFonts w:asciiTheme="minorHAnsi" w:hAnsiTheme="minorHAnsi" w:cstheme="minorHAnsi"/>
          <w:iCs/>
          <w:sz w:val="22"/>
          <w:szCs w:val="22"/>
          <w:lang w:val="en-GB" w:eastAsia="en-GB"/>
        </w:rPr>
        <w:t>F</w:t>
      </w:r>
      <w:r w:rsidR="00026509" w:rsidRPr="00824F55">
        <w:rPr>
          <w:rFonts w:asciiTheme="minorHAnsi" w:hAnsiTheme="minorHAnsi" w:cstheme="minorHAnsi"/>
          <w:iCs/>
          <w:sz w:val="22"/>
          <w:szCs w:val="22"/>
          <w:lang w:val="en-GB" w:eastAsia="en-GB"/>
        </w:rPr>
        <w:t>und</w:t>
      </w:r>
      <w:r w:rsidRPr="00824F55">
        <w:rPr>
          <w:rFonts w:asciiTheme="minorHAnsi" w:hAnsiTheme="minorHAnsi" w:cstheme="minorHAnsi"/>
          <w:iCs/>
          <w:sz w:val="22"/>
          <w:szCs w:val="22"/>
          <w:lang w:val="en-GB" w:eastAsia="en-GB"/>
        </w:rPr>
        <w:t xml:space="preserve"> may be relatively common.  An example of this type of transfer is where a unitary authority transfers control of certain services to another body and the transferring active scheme members are eligible to remain in</w:t>
      </w:r>
      <w:r w:rsidR="00CC700A" w:rsidRPr="00824F55">
        <w:rPr>
          <w:rFonts w:asciiTheme="minorHAnsi" w:hAnsiTheme="minorHAnsi" w:cstheme="minorHAnsi"/>
          <w:iCs/>
          <w:sz w:val="22"/>
          <w:szCs w:val="22"/>
          <w:lang w:val="en-GB" w:eastAsia="en-GB"/>
        </w:rPr>
        <w:t xml:space="preserve"> the</w:t>
      </w:r>
      <w:r w:rsidRPr="00824F55">
        <w:rPr>
          <w:rFonts w:asciiTheme="minorHAnsi" w:hAnsiTheme="minorHAnsi" w:cstheme="minorHAnsi"/>
          <w:iCs/>
          <w:sz w:val="22"/>
          <w:szCs w:val="22"/>
          <w:lang w:val="en-GB" w:eastAsia="en-GB"/>
        </w:rPr>
        <w:t xml:space="preserve"> </w:t>
      </w:r>
      <w:r w:rsidR="00CC700A" w:rsidRPr="00824F55">
        <w:rPr>
          <w:rFonts w:asciiTheme="minorHAnsi" w:hAnsiTheme="minorHAnsi" w:cstheme="minorHAnsi"/>
          <w:iCs/>
          <w:sz w:val="22"/>
          <w:szCs w:val="22"/>
          <w:lang w:val="en-GB" w:eastAsia="en-GB"/>
        </w:rPr>
        <w:t>F</w:t>
      </w:r>
      <w:r w:rsidR="00026509" w:rsidRPr="00824F55">
        <w:rPr>
          <w:rFonts w:asciiTheme="minorHAnsi" w:hAnsiTheme="minorHAnsi" w:cstheme="minorHAnsi"/>
          <w:iCs/>
          <w:sz w:val="22"/>
          <w:szCs w:val="22"/>
          <w:lang w:val="en-GB" w:eastAsia="en-GB"/>
        </w:rPr>
        <w:t xml:space="preserve">und. </w:t>
      </w:r>
      <w:r w:rsidRPr="00824F55">
        <w:rPr>
          <w:rFonts w:asciiTheme="minorHAnsi" w:hAnsiTheme="minorHAnsi" w:cstheme="minorHAnsi"/>
          <w:iCs/>
          <w:sz w:val="22"/>
          <w:szCs w:val="22"/>
          <w:lang w:val="en-GB" w:eastAsia="en-GB"/>
        </w:rPr>
        <w:t>These types of transfers can be broken into two different categories:</w:t>
      </w:r>
    </w:p>
    <w:p w14:paraId="3044667A" w14:textId="77777777" w:rsidR="00B10838" w:rsidRPr="00824F55" w:rsidRDefault="00B10838" w:rsidP="00EC7ACE">
      <w:pPr>
        <w:pStyle w:val="ListParagraph"/>
        <w:numPr>
          <w:ilvl w:val="0"/>
          <w:numId w:val="7"/>
        </w:numPr>
        <w:autoSpaceDE w:val="0"/>
        <w:autoSpaceDN w:val="0"/>
        <w:adjustRightInd w:val="0"/>
        <w:rPr>
          <w:rFonts w:asciiTheme="minorHAnsi" w:hAnsiTheme="minorHAnsi" w:cstheme="minorHAnsi"/>
          <w:color w:val="auto"/>
          <w:szCs w:val="22"/>
        </w:rPr>
      </w:pPr>
      <w:r w:rsidRPr="00824F55">
        <w:rPr>
          <w:rFonts w:asciiTheme="minorHAnsi" w:hAnsiTheme="minorHAnsi" w:cstheme="minorHAnsi"/>
          <w:color w:val="auto"/>
          <w:szCs w:val="22"/>
        </w:rPr>
        <w:t xml:space="preserve">The transferring active scheme members join a new employer in the </w:t>
      </w:r>
      <w:r w:rsidR="00CC700A" w:rsidRPr="00824F55">
        <w:rPr>
          <w:rFonts w:asciiTheme="minorHAnsi" w:hAnsiTheme="minorHAnsi" w:cstheme="minorHAnsi"/>
          <w:color w:val="auto"/>
          <w:szCs w:val="22"/>
        </w:rPr>
        <w:t>F</w:t>
      </w:r>
      <w:r w:rsidR="00026509" w:rsidRPr="00824F55">
        <w:rPr>
          <w:rFonts w:asciiTheme="minorHAnsi" w:hAnsiTheme="minorHAnsi" w:cstheme="minorHAnsi"/>
          <w:color w:val="auto"/>
          <w:szCs w:val="22"/>
        </w:rPr>
        <w:t>und</w:t>
      </w:r>
      <w:r w:rsidRPr="00824F55">
        <w:rPr>
          <w:rFonts w:asciiTheme="minorHAnsi" w:hAnsiTheme="minorHAnsi" w:cstheme="minorHAnsi"/>
          <w:color w:val="auto"/>
          <w:szCs w:val="22"/>
        </w:rPr>
        <w:t xml:space="preserve"> (e.g. a transferee admission body, community admission body, or even a new scheduled body); or</w:t>
      </w:r>
    </w:p>
    <w:p w14:paraId="4B1C21FF" w14:textId="0A3F0CDF" w:rsidR="00B10838" w:rsidRPr="00EC7ACE" w:rsidRDefault="00B10838" w:rsidP="00EC7ACE">
      <w:pPr>
        <w:pStyle w:val="BodyTextGrey"/>
        <w:numPr>
          <w:ilvl w:val="0"/>
          <w:numId w:val="7"/>
        </w:numPr>
        <w:rPr>
          <w:rFonts w:asciiTheme="minorHAnsi" w:hAnsiTheme="minorHAnsi" w:cstheme="minorHAnsi"/>
          <w:iCs/>
          <w:sz w:val="22"/>
          <w:szCs w:val="22"/>
          <w:lang w:val="en-GB" w:eastAsia="en-GB"/>
        </w:rPr>
      </w:pPr>
      <w:r w:rsidRPr="00824F55">
        <w:rPr>
          <w:rFonts w:asciiTheme="minorHAnsi" w:hAnsiTheme="minorHAnsi" w:cstheme="minorHAnsi"/>
          <w:szCs w:val="22"/>
        </w:rPr>
        <w:t xml:space="preserve">The </w:t>
      </w:r>
      <w:r w:rsidRPr="00EC7ACE">
        <w:rPr>
          <w:rFonts w:asciiTheme="minorHAnsi" w:hAnsiTheme="minorHAnsi" w:cstheme="minorHAnsi"/>
          <w:iCs/>
          <w:sz w:val="22"/>
          <w:szCs w:val="22"/>
          <w:lang w:val="en-GB" w:eastAsia="en-GB"/>
        </w:rPr>
        <w:t xml:space="preserve">transferring active scheme members join an existing </w:t>
      </w:r>
      <w:r w:rsidR="00CC700A" w:rsidRPr="00EC7ACE">
        <w:rPr>
          <w:rFonts w:asciiTheme="minorHAnsi" w:hAnsiTheme="minorHAnsi" w:cstheme="minorHAnsi"/>
          <w:iCs/>
          <w:sz w:val="22"/>
          <w:szCs w:val="22"/>
          <w:lang w:val="en-GB" w:eastAsia="en-GB"/>
        </w:rPr>
        <w:t>F</w:t>
      </w:r>
      <w:r w:rsidR="00026509" w:rsidRPr="00EC7ACE">
        <w:rPr>
          <w:rFonts w:asciiTheme="minorHAnsi" w:hAnsiTheme="minorHAnsi" w:cstheme="minorHAnsi"/>
          <w:iCs/>
          <w:sz w:val="22"/>
          <w:szCs w:val="22"/>
          <w:lang w:val="en-GB" w:eastAsia="en-GB"/>
        </w:rPr>
        <w:t>und</w:t>
      </w:r>
      <w:r w:rsidRPr="00EC7ACE">
        <w:rPr>
          <w:rFonts w:asciiTheme="minorHAnsi" w:hAnsiTheme="minorHAnsi" w:cstheme="minorHAnsi"/>
          <w:iCs/>
          <w:sz w:val="22"/>
          <w:szCs w:val="22"/>
          <w:lang w:val="en-GB" w:eastAsia="en-GB"/>
        </w:rPr>
        <w:t xml:space="preserve"> employer.</w:t>
      </w:r>
    </w:p>
    <w:p w14:paraId="11511F03" w14:textId="77777777" w:rsidR="00B10838" w:rsidRPr="00824F55" w:rsidRDefault="00C25554" w:rsidP="00B10838">
      <w:pPr>
        <w:pStyle w:val="BodyTextGrey"/>
        <w:rPr>
          <w:rFonts w:asciiTheme="minorHAnsi" w:hAnsiTheme="minorHAnsi" w:cstheme="minorHAnsi"/>
          <w:iCs/>
          <w:sz w:val="22"/>
          <w:szCs w:val="22"/>
          <w:lang w:val="en-GB" w:eastAsia="en-GB"/>
        </w:rPr>
      </w:pPr>
      <w:r w:rsidRPr="00824F55">
        <w:rPr>
          <w:rFonts w:asciiTheme="minorHAnsi" w:hAnsiTheme="minorHAnsi" w:cstheme="minorHAnsi"/>
          <w:iCs/>
          <w:sz w:val="22"/>
          <w:szCs w:val="22"/>
          <w:lang w:val="en-GB" w:eastAsia="en-GB"/>
        </w:rPr>
        <w:t>T</w:t>
      </w:r>
      <w:r w:rsidR="00B10838" w:rsidRPr="00824F55">
        <w:rPr>
          <w:rFonts w:asciiTheme="minorHAnsi" w:hAnsiTheme="minorHAnsi" w:cstheme="minorHAnsi"/>
          <w:iCs/>
          <w:sz w:val="22"/>
          <w:szCs w:val="22"/>
          <w:lang w:val="en-GB" w:eastAsia="en-GB"/>
        </w:rPr>
        <w:t xml:space="preserve">here are no specific references in the Regulations to the allocation of assets for these types of scenario or any </w:t>
      </w:r>
      <w:r w:rsidRPr="00824F55">
        <w:rPr>
          <w:rFonts w:asciiTheme="minorHAnsi" w:hAnsiTheme="minorHAnsi" w:cstheme="minorHAnsi"/>
          <w:iCs/>
          <w:sz w:val="22"/>
          <w:szCs w:val="22"/>
          <w:lang w:val="en-GB" w:eastAsia="en-GB"/>
        </w:rPr>
        <w:t>o</w:t>
      </w:r>
      <w:r w:rsidR="00B10838" w:rsidRPr="00824F55">
        <w:rPr>
          <w:rFonts w:asciiTheme="minorHAnsi" w:hAnsiTheme="minorHAnsi" w:cstheme="minorHAnsi"/>
          <w:iCs/>
          <w:sz w:val="22"/>
          <w:szCs w:val="22"/>
          <w:lang w:val="en-GB" w:eastAsia="en-GB"/>
        </w:rPr>
        <w:t>ther guidance relating to such transfers.  Obviously the ODPM Code of Practice on Workforce Matters and the Fair Deal guidance applies to transfers from local authorities to private contractors within the same fund.</w:t>
      </w:r>
    </w:p>
    <w:p w14:paraId="701F74BA" w14:textId="77777777" w:rsidR="00B10838" w:rsidRPr="00824F55" w:rsidRDefault="00B10838" w:rsidP="00B10838">
      <w:pPr>
        <w:pStyle w:val="Heading3"/>
        <w:rPr>
          <w:rFonts w:asciiTheme="minorHAnsi" w:eastAsia="Times New Roman" w:hAnsiTheme="minorHAnsi" w:cstheme="minorHAnsi"/>
          <w:bCs w:val="0"/>
          <w:sz w:val="24"/>
          <w:szCs w:val="24"/>
          <w:lang w:eastAsia="en-GB"/>
        </w:rPr>
      </w:pPr>
      <w:bookmarkStart w:id="48" w:name="_Toc80875405"/>
      <w:r w:rsidRPr="00824F55">
        <w:rPr>
          <w:rFonts w:asciiTheme="minorHAnsi" w:eastAsia="Times New Roman" w:hAnsiTheme="minorHAnsi" w:cstheme="minorHAnsi"/>
          <w:bCs w:val="0"/>
          <w:sz w:val="24"/>
          <w:szCs w:val="24"/>
          <w:lang w:eastAsia="en-GB"/>
        </w:rPr>
        <w:t>Transfers in</w:t>
      </w:r>
      <w:bookmarkEnd w:id="48"/>
    </w:p>
    <w:p w14:paraId="01CDFE15" w14:textId="77777777" w:rsidR="00B10838" w:rsidRPr="00824F55" w:rsidRDefault="00B10838" w:rsidP="00B10838">
      <w:pPr>
        <w:pStyle w:val="BodyTextGrey"/>
        <w:rPr>
          <w:rFonts w:asciiTheme="minorHAnsi" w:hAnsiTheme="minorHAnsi" w:cstheme="minorHAnsi"/>
          <w:iCs/>
          <w:sz w:val="22"/>
          <w:szCs w:val="22"/>
          <w:lang w:val="en-GB" w:eastAsia="en-GB"/>
        </w:rPr>
      </w:pPr>
      <w:r w:rsidRPr="00824F55">
        <w:rPr>
          <w:rFonts w:asciiTheme="minorHAnsi" w:hAnsiTheme="minorHAnsi" w:cstheme="minorHAnsi"/>
          <w:iCs/>
          <w:sz w:val="22"/>
          <w:szCs w:val="22"/>
          <w:lang w:val="en-GB" w:eastAsia="en-GB"/>
        </w:rPr>
        <w:t>Bulk transfers into the LGPS can occur for a number of reasons including a national restructuring resulting in the admission of an employer whose employees have LGPS service in another LGPS fund, where there is a reorganisation of central government operations (transfers in from other government sponsored schemes) or where an outsourced contract ceases and active scheme members (re)join the LGPS from a broadly comparable scheme.</w:t>
      </w:r>
    </w:p>
    <w:p w14:paraId="56991E81" w14:textId="77777777" w:rsidR="002C2A7A" w:rsidRPr="00824F55" w:rsidRDefault="00B10838" w:rsidP="007216FD">
      <w:pPr>
        <w:pStyle w:val="BodyTextGrey"/>
        <w:rPr>
          <w:rFonts w:asciiTheme="minorHAnsi" w:hAnsiTheme="minorHAnsi" w:cstheme="minorHAnsi"/>
          <w:color w:val="003300"/>
          <w:sz w:val="22"/>
          <w:szCs w:val="22"/>
          <w:lang w:eastAsia="en-GB"/>
        </w:rPr>
      </w:pPr>
      <w:r w:rsidRPr="00824F55">
        <w:rPr>
          <w:rFonts w:asciiTheme="minorHAnsi" w:hAnsiTheme="minorHAnsi" w:cstheme="minorHAnsi"/>
          <w:iCs/>
          <w:sz w:val="22"/>
          <w:szCs w:val="22"/>
          <w:lang w:val="en-GB" w:eastAsia="en-GB"/>
        </w:rPr>
        <w:t>Unlike bulk transfers out of the LGPS, there is no specific provision to allow for bulk transfers into the LGPS.  As a result, any</w:t>
      </w:r>
      <w:r w:rsidR="00907F96" w:rsidRPr="00824F55">
        <w:rPr>
          <w:rFonts w:asciiTheme="minorHAnsi" w:hAnsiTheme="minorHAnsi" w:cstheme="minorHAnsi"/>
          <w:iCs/>
          <w:sz w:val="22"/>
          <w:szCs w:val="22"/>
          <w:lang w:val="en-GB" w:eastAsia="en-GB"/>
        </w:rPr>
        <w:t xml:space="preserve"> service in respect of a</w:t>
      </w:r>
      <w:r w:rsidRPr="00824F55">
        <w:rPr>
          <w:rFonts w:asciiTheme="minorHAnsi" w:hAnsiTheme="minorHAnsi" w:cstheme="minorHAnsi"/>
          <w:iCs/>
          <w:sz w:val="22"/>
          <w:szCs w:val="22"/>
          <w:lang w:val="en-GB" w:eastAsia="en-GB"/>
        </w:rPr>
        <w:t xml:space="preserve"> transfer value received into the LGPS, whether on the voluntary movement of an individual or the compulsory transfer of a number of employees, must be </w:t>
      </w:r>
      <w:r w:rsidR="00907F96" w:rsidRPr="00824F55">
        <w:rPr>
          <w:rFonts w:asciiTheme="minorHAnsi" w:hAnsiTheme="minorHAnsi" w:cstheme="minorHAnsi"/>
          <w:iCs/>
          <w:sz w:val="22"/>
          <w:szCs w:val="22"/>
          <w:lang w:val="en-GB" w:eastAsia="en-GB"/>
        </w:rPr>
        <w:t xml:space="preserve">calculated </w:t>
      </w:r>
      <w:r w:rsidRPr="00824F55">
        <w:rPr>
          <w:rFonts w:asciiTheme="minorHAnsi" w:hAnsiTheme="minorHAnsi" w:cstheme="minorHAnsi"/>
          <w:iCs/>
          <w:sz w:val="22"/>
          <w:szCs w:val="22"/>
          <w:lang w:val="en-GB" w:eastAsia="en-GB"/>
        </w:rPr>
        <w:t xml:space="preserve">the same way as individual transfers.  </w:t>
      </w:r>
    </w:p>
    <w:sectPr w:rsidR="002C2A7A" w:rsidRPr="00824F55" w:rsidSect="00335891">
      <w:footerReference w:type="default" r:id="rId15"/>
      <w:footerReference w:type="first" r:id="rId16"/>
      <w:pgSz w:w="11906" w:h="16838"/>
      <w:pgMar w:top="1440" w:right="1440" w:bottom="1440" w:left="1440" w:header="0"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FF12" w14:textId="77777777" w:rsidR="0033725F" w:rsidRDefault="0033725F">
      <w:r>
        <w:separator/>
      </w:r>
    </w:p>
  </w:endnote>
  <w:endnote w:type="continuationSeparator" w:id="0">
    <w:p w14:paraId="11DF0760" w14:textId="77777777" w:rsidR="0033725F" w:rsidRDefault="0033725F">
      <w:r>
        <w:continuationSeparator/>
      </w:r>
    </w:p>
  </w:endnote>
  <w:endnote w:type="continuationNotice" w:id="1">
    <w:p w14:paraId="625A4CEB" w14:textId="77777777" w:rsidR="0033725F" w:rsidRDefault="00337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46996"/>
      <w:docPartObj>
        <w:docPartGallery w:val="Page Numbers (Bottom of Page)"/>
        <w:docPartUnique/>
      </w:docPartObj>
    </w:sdtPr>
    <w:sdtEndPr>
      <w:rPr>
        <w:noProof/>
      </w:rPr>
    </w:sdtEndPr>
    <w:sdtContent>
      <w:p w14:paraId="064FBAAE" w14:textId="7CEBEB4D" w:rsidR="0033725F" w:rsidRDefault="0033725F" w:rsidP="00F8084A">
        <w:pPr>
          <w:pStyle w:val="Footer"/>
          <w:rPr>
            <w:noProof/>
          </w:rPr>
        </w:pPr>
        <w:r>
          <w:rPr>
            <w:noProof/>
            <w:lang w:val="en-GB" w:eastAsia="en-GB"/>
          </w:rPr>
          <w:drawing>
            <wp:inline distT="0" distB="0" distL="0" distR="0" wp14:anchorId="01AEE00A" wp14:editId="72CBDF40">
              <wp:extent cx="3045600" cy="1015200"/>
              <wp:effectExtent l="0" t="0" r="2540" b="0"/>
              <wp:docPr id="16"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p w14:paraId="3BB9638D" w14:textId="77777777" w:rsidR="0033725F" w:rsidRDefault="008E4AC2">
        <w:pPr>
          <w:pStyle w:val="Footer"/>
          <w:jc w:val="center"/>
        </w:pPr>
      </w:p>
    </w:sdtContent>
  </w:sdt>
  <w:p w14:paraId="522CF6DB" w14:textId="77777777" w:rsidR="0033725F" w:rsidRDefault="0033725F" w:rsidP="00CE1992">
    <w:pPr>
      <w:pStyle w:val="Footer"/>
      <w:tabs>
        <w:tab w:val="left" w:pos="142"/>
      </w:tabs>
      <w:ind w:left="-993" w:firstLine="9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E471" w14:textId="15242504" w:rsidR="0033725F" w:rsidRDefault="008E4AC2">
    <w:pPr>
      <w:pStyle w:val="Footer"/>
      <w:jc w:val="right"/>
    </w:pPr>
    <w:sdt>
      <w:sdtPr>
        <w:id w:val="25601338"/>
        <w:docPartObj>
          <w:docPartGallery w:val="Page Numbers (Bottom of Page)"/>
          <w:docPartUnique/>
        </w:docPartObj>
      </w:sdtPr>
      <w:sdtEndPr/>
      <w:sdtContent>
        <w:r w:rsidR="0033725F" w:rsidRPr="000D3000">
          <w:rPr>
            <w:rFonts w:asciiTheme="minorHAnsi" w:hAnsiTheme="minorHAnsi"/>
            <w:sz w:val="22"/>
            <w:szCs w:val="22"/>
          </w:rPr>
          <w:fldChar w:fldCharType="begin"/>
        </w:r>
        <w:r w:rsidR="0033725F" w:rsidRPr="000D3000">
          <w:rPr>
            <w:rFonts w:asciiTheme="minorHAnsi" w:hAnsiTheme="minorHAnsi"/>
            <w:sz w:val="22"/>
            <w:szCs w:val="22"/>
          </w:rPr>
          <w:instrText xml:space="preserve"> PAGE   \* MERGEFORMAT </w:instrText>
        </w:r>
        <w:r w:rsidR="0033725F" w:rsidRPr="000D3000">
          <w:rPr>
            <w:rFonts w:asciiTheme="minorHAnsi" w:hAnsiTheme="minorHAnsi"/>
            <w:sz w:val="22"/>
            <w:szCs w:val="22"/>
          </w:rPr>
          <w:fldChar w:fldCharType="separate"/>
        </w:r>
        <w:r w:rsidR="003173CB">
          <w:rPr>
            <w:rFonts w:asciiTheme="minorHAnsi" w:hAnsiTheme="minorHAnsi"/>
            <w:noProof/>
            <w:sz w:val="22"/>
            <w:szCs w:val="22"/>
          </w:rPr>
          <w:t>19</w:t>
        </w:r>
        <w:r w:rsidR="0033725F" w:rsidRPr="000D3000">
          <w:rPr>
            <w:rFonts w:asciiTheme="minorHAnsi" w:hAnsiTheme="minorHAnsi"/>
            <w:noProof/>
            <w:sz w:val="22"/>
            <w:szCs w:val="22"/>
          </w:rPr>
          <w:fldChar w:fldCharType="end"/>
        </w:r>
      </w:sdtContent>
    </w:sdt>
  </w:p>
  <w:p w14:paraId="246E82E4" w14:textId="77777777" w:rsidR="0033725F" w:rsidRDefault="0033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1329"/>
      <w:docPartObj>
        <w:docPartGallery w:val="Page Numbers (Bottom of Page)"/>
        <w:docPartUnique/>
      </w:docPartObj>
    </w:sdtPr>
    <w:sdtEndPr/>
    <w:sdtContent>
      <w:p w14:paraId="232C87D5" w14:textId="77777777" w:rsidR="0033725F" w:rsidRDefault="0033725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E63B5B1" w14:textId="77777777" w:rsidR="0033725F" w:rsidRDefault="0033725F" w:rsidP="00CE1992">
    <w:pPr>
      <w:pStyle w:val="Footer"/>
      <w:tabs>
        <w:tab w:val="left" w:pos="142"/>
      </w:tabs>
      <w:ind w:left="-993" w:firstLine="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DF7D" w14:textId="77777777" w:rsidR="0033725F" w:rsidRDefault="0033725F">
      <w:r>
        <w:separator/>
      </w:r>
    </w:p>
  </w:footnote>
  <w:footnote w:type="continuationSeparator" w:id="0">
    <w:p w14:paraId="6168575A" w14:textId="77777777" w:rsidR="0033725F" w:rsidRDefault="0033725F">
      <w:r>
        <w:continuationSeparator/>
      </w:r>
    </w:p>
  </w:footnote>
  <w:footnote w:type="continuationNotice" w:id="1">
    <w:p w14:paraId="48D763DB" w14:textId="77777777" w:rsidR="0033725F" w:rsidRDefault="0033725F"/>
  </w:footnote>
  <w:footnote w:id="2">
    <w:p w14:paraId="60598BB8" w14:textId="629323F8" w:rsidR="0033725F" w:rsidRPr="00000894" w:rsidRDefault="0033725F" w:rsidP="00B10838">
      <w:pPr>
        <w:pStyle w:val="FootnoteText"/>
        <w:rPr>
          <w:b/>
          <w:color w:val="4B4B4B"/>
          <w:sz w:val="16"/>
          <w:szCs w:val="16"/>
        </w:rPr>
      </w:pPr>
      <w:r w:rsidRPr="00000894">
        <w:rPr>
          <w:rStyle w:val="FootnoteReference"/>
          <w:b/>
          <w:color w:val="4B4B4B"/>
          <w:sz w:val="16"/>
          <w:szCs w:val="16"/>
        </w:rPr>
        <w:footnoteRef/>
      </w:r>
      <w:r w:rsidRPr="00000894">
        <w:rPr>
          <w:b/>
          <w:color w:val="4B4B4B"/>
          <w:sz w:val="16"/>
          <w:szCs w:val="16"/>
        </w:rPr>
        <w:t xml:space="preserve"> It is not possible to completely eliminate this risk, for example because the transfer value will be adjusted between the transfer date and the payment date and </w:t>
      </w:r>
      <w:r>
        <w:rPr>
          <w:b/>
          <w:color w:val="4B4B4B"/>
          <w:sz w:val="16"/>
          <w:szCs w:val="16"/>
        </w:rPr>
        <w:t>Cambridgeshire</w:t>
      </w:r>
      <w:r w:rsidRPr="00000894">
        <w:rPr>
          <w:b/>
          <w:color w:val="4B4B4B"/>
          <w:sz w:val="16"/>
          <w:szCs w:val="16"/>
        </w:rPr>
        <w:t xml:space="preserve"> Pension Fund returns may not be available for the full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26BF" w14:textId="24A9E1DF" w:rsidR="0033725F" w:rsidRDefault="003372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6875" w14:textId="244F916F" w:rsidR="0033725F" w:rsidRDefault="0033725F" w:rsidP="00F844C9">
    <w:pPr>
      <w:pStyle w:val="Header"/>
      <w:jc w:val="right"/>
    </w:pPr>
    <w:r>
      <w:rPr>
        <w:noProof/>
        <w:lang w:val="en-GB" w:eastAsia="en-GB"/>
      </w:rPr>
      <w:drawing>
        <wp:inline distT="0" distB="0" distL="0" distR="0" wp14:anchorId="1B8B1BAE" wp14:editId="27ADD864">
          <wp:extent cx="1792800" cy="676800"/>
          <wp:effectExtent l="0" t="0" r="0" b="0"/>
          <wp:docPr id="15"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798"/>
    <w:multiLevelType w:val="hybridMultilevel"/>
    <w:tmpl w:val="D69EE2C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7F36A48"/>
    <w:multiLevelType w:val="hybridMultilevel"/>
    <w:tmpl w:val="1C368AE4"/>
    <w:lvl w:ilvl="0" w:tplc="AFCEE9FC">
      <w:start w:val="1"/>
      <w:numFmt w:val="lowerLetter"/>
      <w:lvlText w:val="%1)"/>
      <w:lvlJc w:val="left"/>
      <w:pPr>
        <w:ind w:left="1271" w:hanging="4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9F045D7"/>
    <w:multiLevelType w:val="hybridMultilevel"/>
    <w:tmpl w:val="010A2B7C"/>
    <w:lvl w:ilvl="0" w:tplc="91586B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F371EF"/>
    <w:multiLevelType w:val="hybridMultilevel"/>
    <w:tmpl w:val="9E06E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333F9"/>
    <w:multiLevelType w:val="hybridMultilevel"/>
    <w:tmpl w:val="3F4EF5F2"/>
    <w:lvl w:ilvl="0" w:tplc="08090001">
      <w:start w:val="1"/>
      <w:numFmt w:val="bullet"/>
      <w:pStyle w:val="Heading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1F41E6"/>
    <w:multiLevelType w:val="multilevel"/>
    <w:tmpl w:val="4D8A0410"/>
    <w:styleLink w:val="HRBullet"/>
    <w:lvl w:ilvl="0">
      <w:start w:val="1"/>
      <w:numFmt w:val="bullet"/>
      <w:pStyle w:val="BulletHymans"/>
      <w:lvlText w:val=""/>
      <w:lvlJc w:val="left"/>
      <w:pPr>
        <w:ind w:left="1701" w:hanging="567"/>
      </w:pPr>
      <w:rPr>
        <w:rFonts w:ascii="Symbol" w:hAnsi="Symbol" w:hint="default"/>
        <w:color w:val="4B4B4B"/>
        <w:sz w:val="20"/>
      </w:rPr>
    </w:lvl>
    <w:lvl w:ilvl="1">
      <w:start w:val="1"/>
      <w:numFmt w:val="none"/>
      <w:lvlText w:val="%2-"/>
      <w:lvlJc w:val="left"/>
      <w:pPr>
        <w:ind w:left="2268" w:hanging="567"/>
      </w:pPr>
      <w:rPr>
        <w:rFonts w:hint="default"/>
        <w:color w:val="4B4B4B"/>
        <w:sz w:val="20"/>
      </w:rPr>
    </w:lvl>
    <w:lvl w:ilvl="2">
      <w:start w:val="1"/>
      <w:numFmt w:val="bullet"/>
      <w:lvlText w:val=""/>
      <w:lvlJc w:val="left"/>
      <w:pPr>
        <w:ind w:left="2835" w:hanging="567"/>
      </w:pPr>
      <w:rPr>
        <w:rFonts w:ascii="Symbol" w:hAnsi="Symbol" w:hint="default"/>
        <w:color w:val="4B4B4B"/>
      </w:rPr>
    </w:lvl>
    <w:lvl w:ilvl="3">
      <w:start w:val="1"/>
      <w:numFmt w:val="none"/>
      <w:lvlText w:val="-"/>
      <w:lvlJc w:val="left"/>
      <w:pPr>
        <w:ind w:left="2835" w:hanging="567"/>
      </w:pPr>
      <w:rPr>
        <w:rFonts w:hint="default"/>
        <w:color w:val="auto"/>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7" w15:restartNumberingAfterBreak="0">
    <w:nsid w:val="54E802EB"/>
    <w:multiLevelType w:val="multilevel"/>
    <w:tmpl w:val="020266A6"/>
    <w:lvl w:ilvl="0">
      <w:start w:val="1"/>
      <w:numFmt w:val="decimal"/>
      <w:lvlRestart w:val="0"/>
      <w:pStyle w:val="Heading1Num"/>
      <w:isLgl/>
      <w:lvlText w:val="%1"/>
      <w:lvlJc w:val="left"/>
      <w:pPr>
        <w:tabs>
          <w:tab w:val="num" w:pos="1277"/>
        </w:tabs>
        <w:ind w:left="1277" w:hanging="567"/>
      </w:pPr>
      <w:rPr>
        <w:rFonts w:hint="default"/>
        <w:b/>
      </w:rPr>
    </w:lvl>
    <w:lvl w:ilvl="1">
      <w:start w:val="1"/>
      <w:numFmt w:val="decimal"/>
      <w:pStyle w:val="Heading2Num"/>
      <w:lvlText w:val="%1.%2"/>
      <w:lvlJc w:val="left"/>
      <w:pPr>
        <w:tabs>
          <w:tab w:val="num" w:pos="1277"/>
        </w:tabs>
        <w:ind w:left="1277" w:hanging="567"/>
      </w:pPr>
      <w:rPr>
        <w:rFonts w:hint="default"/>
      </w:rPr>
    </w:lvl>
    <w:lvl w:ilvl="2">
      <w:start w:val="1"/>
      <w:numFmt w:val="decimal"/>
      <w:pStyle w:val="Heading3Num"/>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8" w15:restartNumberingAfterBreak="0">
    <w:nsid w:val="6F8F0EA7"/>
    <w:multiLevelType w:val="hybridMultilevel"/>
    <w:tmpl w:val="AF582E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108038190">
    <w:abstractNumId w:val="5"/>
  </w:num>
  <w:num w:numId="2" w16cid:durableId="287711698">
    <w:abstractNumId w:val="2"/>
  </w:num>
  <w:num w:numId="3" w16cid:durableId="1835143655">
    <w:abstractNumId w:val="6"/>
  </w:num>
  <w:num w:numId="4" w16cid:durableId="284890296">
    <w:abstractNumId w:val="3"/>
  </w:num>
  <w:num w:numId="5" w16cid:durableId="901478402">
    <w:abstractNumId w:val="9"/>
  </w:num>
  <w:num w:numId="6" w16cid:durableId="718748560">
    <w:abstractNumId w:val="4"/>
  </w:num>
  <w:num w:numId="7" w16cid:durableId="914438996">
    <w:abstractNumId w:val="0"/>
  </w:num>
  <w:num w:numId="8" w16cid:durableId="469828113">
    <w:abstractNumId w:val="7"/>
  </w:num>
  <w:num w:numId="9" w16cid:durableId="190918809">
    <w:abstractNumId w:val="1"/>
  </w:num>
  <w:num w:numId="10" w16cid:durableId="7720154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C9"/>
    <w:rsid w:val="00001F27"/>
    <w:rsid w:val="00010EE8"/>
    <w:rsid w:val="0001121D"/>
    <w:rsid w:val="000216C7"/>
    <w:rsid w:val="00023319"/>
    <w:rsid w:val="0002357B"/>
    <w:rsid w:val="00026509"/>
    <w:rsid w:val="00026C36"/>
    <w:rsid w:val="00027850"/>
    <w:rsid w:val="00030088"/>
    <w:rsid w:val="000360A8"/>
    <w:rsid w:val="00036832"/>
    <w:rsid w:val="00037077"/>
    <w:rsid w:val="00045868"/>
    <w:rsid w:val="0005553C"/>
    <w:rsid w:val="00060331"/>
    <w:rsid w:val="000645AA"/>
    <w:rsid w:val="00066A8D"/>
    <w:rsid w:val="0007075B"/>
    <w:rsid w:val="00071DA2"/>
    <w:rsid w:val="0007297D"/>
    <w:rsid w:val="00076974"/>
    <w:rsid w:val="00076EEE"/>
    <w:rsid w:val="000841D8"/>
    <w:rsid w:val="00084AB3"/>
    <w:rsid w:val="00087721"/>
    <w:rsid w:val="000A03B4"/>
    <w:rsid w:val="000A3954"/>
    <w:rsid w:val="000B09DB"/>
    <w:rsid w:val="000B2940"/>
    <w:rsid w:val="000B2D3C"/>
    <w:rsid w:val="000B3528"/>
    <w:rsid w:val="000C65DB"/>
    <w:rsid w:val="000C7FE6"/>
    <w:rsid w:val="000D23D5"/>
    <w:rsid w:val="000D3000"/>
    <w:rsid w:val="000D479F"/>
    <w:rsid w:val="000D4D2E"/>
    <w:rsid w:val="000D6ECD"/>
    <w:rsid w:val="000E0A29"/>
    <w:rsid w:val="000E4183"/>
    <w:rsid w:val="000E503E"/>
    <w:rsid w:val="000E607A"/>
    <w:rsid w:val="000F0941"/>
    <w:rsid w:val="000F0B8D"/>
    <w:rsid w:val="000F223E"/>
    <w:rsid w:val="000F2B33"/>
    <w:rsid w:val="000F4A7C"/>
    <w:rsid w:val="000F6C4F"/>
    <w:rsid w:val="00105D5F"/>
    <w:rsid w:val="0011119E"/>
    <w:rsid w:val="001128E1"/>
    <w:rsid w:val="00114EBD"/>
    <w:rsid w:val="00115BFB"/>
    <w:rsid w:val="0011733D"/>
    <w:rsid w:val="0012089E"/>
    <w:rsid w:val="00122256"/>
    <w:rsid w:val="00132364"/>
    <w:rsid w:val="0014115F"/>
    <w:rsid w:val="00146C21"/>
    <w:rsid w:val="00147251"/>
    <w:rsid w:val="00151FEE"/>
    <w:rsid w:val="00152C95"/>
    <w:rsid w:val="001538AD"/>
    <w:rsid w:val="00160347"/>
    <w:rsid w:val="00162B47"/>
    <w:rsid w:val="00171CE5"/>
    <w:rsid w:val="00172EA3"/>
    <w:rsid w:val="00182434"/>
    <w:rsid w:val="00185E10"/>
    <w:rsid w:val="00187988"/>
    <w:rsid w:val="001879AC"/>
    <w:rsid w:val="00190DE1"/>
    <w:rsid w:val="00191906"/>
    <w:rsid w:val="00191D77"/>
    <w:rsid w:val="001930D5"/>
    <w:rsid w:val="00194B1F"/>
    <w:rsid w:val="001A2304"/>
    <w:rsid w:val="001A33C4"/>
    <w:rsid w:val="001B3D17"/>
    <w:rsid w:val="001C0E47"/>
    <w:rsid w:val="001C37B0"/>
    <w:rsid w:val="001C4E65"/>
    <w:rsid w:val="001C5C05"/>
    <w:rsid w:val="001C7A53"/>
    <w:rsid w:val="001F1FE2"/>
    <w:rsid w:val="001F221A"/>
    <w:rsid w:val="001F2473"/>
    <w:rsid w:val="001F42BE"/>
    <w:rsid w:val="001F47CC"/>
    <w:rsid w:val="001F5132"/>
    <w:rsid w:val="001F53BE"/>
    <w:rsid w:val="002043A2"/>
    <w:rsid w:val="00204BF1"/>
    <w:rsid w:val="002172E8"/>
    <w:rsid w:val="00220CC0"/>
    <w:rsid w:val="00222EFF"/>
    <w:rsid w:val="00224244"/>
    <w:rsid w:val="00225CCD"/>
    <w:rsid w:val="002327CA"/>
    <w:rsid w:val="0023289F"/>
    <w:rsid w:val="00232E6E"/>
    <w:rsid w:val="00236470"/>
    <w:rsid w:val="00240836"/>
    <w:rsid w:val="00245792"/>
    <w:rsid w:val="002472F0"/>
    <w:rsid w:val="00250C3D"/>
    <w:rsid w:val="00254502"/>
    <w:rsid w:val="00254B47"/>
    <w:rsid w:val="00257043"/>
    <w:rsid w:val="00264FF7"/>
    <w:rsid w:val="002662E6"/>
    <w:rsid w:val="00276D18"/>
    <w:rsid w:val="002772D4"/>
    <w:rsid w:val="0028331B"/>
    <w:rsid w:val="00286ED1"/>
    <w:rsid w:val="00296908"/>
    <w:rsid w:val="002A6F0D"/>
    <w:rsid w:val="002A7D45"/>
    <w:rsid w:val="002B1F0A"/>
    <w:rsid w:val="002B2470"/>
    <w:rsid w:val="002B5C97"/>
    <w:rsid w:val="002C2A7A"/>
    <w:rsid w:val="002C5A7C"/>
    <w:rsid w:val="002C654A"/>
    <w:rsid w:val="002C7FCA"/>
    <w:rsid w:val="002D1AFF"/>
    <w:rsid w:val="002D4BDE"/>
    <w:rsid w:val="002D6EE0"/>
    <w:rsid w:val="002D7BE3"/>
    <w:rsid w:val="002D7D44"/>
    <w:rsid w:val="002E2BE1"/>
    <w:rsid w:val="002E70CD"/>
    <w:rsid w:val="002E7157"/>
    <w:rsid w:val="002F2C74"/>
    <w:rsid w:val="002F54EA"/>
    <w:rsid w:val="002F7C25"/>
    <w:rsid w:val="002F7C3C"/>
    <w:rsid w:val="002F7F38"/>
    <w:rsid w:val="00313A07"/>
    <w:rsid w:val="003173CB"/>
    <w:rsid w:val="00317652"/>
    <w:rsid w:val="00330B1F"/>
    <w:rsid w:val="00335891"/>
    <w:rsid w:val="00335CFD"/>
    <w:rsid w:val="0033725F"/>
    <w:rsid w:val="0034524F"/>
    <w:rsid w:val="00347176"/>
    <w:rsid w:val="003502DA"/>
    <w:rsid w:val="00352D29"/>
    <w:rsid w:val="003559C6"/>
    <w:rsid w:val="00365479"/>
    <w:rsid w:val="003658B2"/>
    <w:rsid w:val="003705F2"/>
    <w:rsid w:val="00370B82"/>
    <w:rsid w:val="00371E5F"/>
    <w:rsid w:val="0037224A"/>
    <w:rsid w:val="00376314"/>
    <w:rsid w:val="0038155D"/>
    <w:rsid w:val="0038186A"/>
    <w:rsid w:val="00381E54"/>
    <w:rsid w:val="003839D1"/>
    <w:rsid w:val="00384A09"/>
    <w:rsid w:val="0039561E"/>
    <w:rsid w:val="003A5D82"/>
    <w:rsid w:val="003A7F94"/>
    <w:rsid w:val="003B0DC8"/>
    <w:rsid w:val="003C44C8"/>
    <w:rsid w:val="003C4A19"/>
    <w:rsid w:val="003C54F6"/>
    <w:rsid w:val="003C583F"/>
    <w:rsid w:val="003C6093"/>
    <w:rsid w:val="003D1BF5"/>
    <w:rsid w:val="003D1D8F"/>
    <w:rsid w:val="003D3EBB"/>
    <w:rsid w:val="003E12E4"/>
    <w:rsid w:val="003E5797"/>
    <w:rsid w:val="003E5E36"/>
    <w:rsid w:val="003E6084"/>
    <w:rsid w:val="003F0F82"/>
    <w:rsid w:val="003F1CA4"/>
    <w:rsid w:val="003F2A3C"/>
    <w:rsid w:val="003F3B69"/>
    <w:rsid w:val="003F543E"/>
    <w:rsid w:val="0040012A"/>
    <w:rsid w:val="00401F75"/>
    <w:rsid w:val="00405335"/>
    <w:rsid w:val="00415841"/>
    <w:rsid w:val="004162A9"/>
    <w:rsid w:val="00417552"/>
    <w:rsid w:val="00420247"/>
    <w:rsid w:val="00420F28"/>
    <w:rsid w:val="0042514C"/>
    <w:rsid w:val="00435EBD"/>
    <w:rsid w:val="00437C51"/>
    <w:rsid w:val="004449FE"/>
    <w:rsid w:val="00447D62"/>
    <w:rsid w:val="00450848"/>
    <w:rsid w:val="00462E1E"/>
    <w:rsid w:val="0046548C"/>
    <w:rsid w:val="00466531"/>
    <w:rsid w:val="00472F95"/>
    <w:rsid w:val="004730DD"/>
    <w:rsid w:val="004744B6"/>
    <w:rsid w:val="00476917"/>
    <w:rsid w:val="004774BC"/>
    <w:rsid w:val="0048077D"/>
    <w:rsid w:val="00491A95"/>
    <w:rsid w:val="00495568"/>
    <w:rsid w:val="004A592A"/>
    <w:rsid w:val="004A7979"/>
    <w:rsid w:val="004B1138"/>
    <w:rsid w:val="004B17FA"/>
    <w:rsid w:val="004B2218"/>
    <w:rsid w:val="004B3D6A"/>
    <w:rsid w:val="004C555B"/>
    <w:rsid w:val="004D0E02"/>
    <w:rsid w:val="004D0E32"/>
    <w:rsid w:val="004D14CF"/>
    <w:rsid w:val="004D5378"/>
    <w:rsid w:val="004E16D7"/>
    <w:rsid w:val="004E2D84"/>
    <w:rsid w:val="004E55E3"/>
    <w:rsid w:val="004F1635"/>
    <w:rsid w:val="004F3C5B"/>
    <w:rsid w:val="004F69D7"/>
    <w:rsid w:val="005028BD"/>
    <w:rsid w:val="005033E5"/>
    <w:rsid w:val="00507D4A"/>
    <w:rsid w:val="00522CC6"/>
    <w:rsid w:val="005242C2"/>
    <w:rsid w:val="005243C2"/>
    <w:rsid w:val="00524BCF"/>
    <w:rsid w:val="00525FE6"/>
    <w:rsid w:val="00531A8D"/>
    <w:rsid w:val="005369E7"/>
    <w:rsid w:val="005377A6"/>
    <w:rsid w:val="0054019D"/>
    <w:rsid w:val="0054305F"/>
    <w:rsid w:val="00547AB8"/>
    <w:rsid w:val="0055533C"/>
    <w:rsid w:val="005557C0"/>
    <w:rsid w:val="005574C8"/>
    <w:rsid w:val="00557A57"/>
    <w:rsid w:val="005623CE"/>
    <w:rsid w:val="00563422"/>
    <w:rsid w:val="00565013"/>
    <w:rsid w:val="00570692"/>
    <w:rsid w:val="00570766"/>
    <w:rsid w:val="00571536"/>
    <w:rsid w:val="00574FAA"/>
    <w:rsid w:val="00576533"/>
    <w:rsid w:val="00581B77"/>
    <w:rsid w:val="0058282E"/>
    <w:rsid w:val="00582EBF"/>
    <w:rsid w:val="00586751"/>
    <w:rsid w:val="00594228"/>
    <w:rsid w:val="0059512F"/>
    <w:rsid w:val="005A0E3C"/>
    <w:rsid w:val="005A6D6E"/>
    <w:rsid w:val="005B4BB1"/>
    <w:rsid w:val="005B743B"/>
    <w:rsid w:val="005C03F0"/>
    <w:rsid w:val="005C463E"/>
    <w:rsid w:val="005C4DDE"/>
    <w:rsid w:val="005C57EB"/>
    <w:rsid w:val="005D5028"/>
    <w:rsid w:val="005D556B"/>
    <w:rsid w:val="005D58F4"/>
    <w:rsid w:val="005E5769"/>
    <w:rsid w:val="005E5DE1"/>
    <w:rsid w:val="005E62F8"/>
    <w:rsid w:val="005F033D"/>
    <w:rsid w:val="005F1AD0"/>
    <w:rsid w:val="005F2BF6"/>
    <w:rsid w:val="006038E9"/>
    <w:rsid w:val="00606914"/>
    <w:rsid w:val="00611B8F"/>
    <w:rsid w:val="006151DF"/>
    <w:rsid w:val="00621D79"/>
    <w:rsid w:val="00631042"/>
    <w:rsid w:val="00640285"/>
    <w:rsid w:val="00651374"/>
    <w:rsid w:val="00656B82"/>
    <w:rsid w:val="00664EF5"/>
    <w:rsid w:val="006700A5"/>
    <w:rsid w:val="006726FD"/>
    <w:rsid w:val="00675951"/>
    <w:rsid w:val="006837B8"/>
    <w:rsid w:val="0068520F"/>
    <w:rsid w:val="0069605B"/>
    <w:rsid w:val="00696EE2"/>
    <w:rsid w:val="006A1A1A"/>
    <w:rsid w:val="006A6E85"/>
    <w:rsid w:val="006B2BF2"/>
    <w:rsid w:val="006B5B9B"/>
    <w:rsid w:val="006C2653"/>
    <w:rsid w:val="006C2D04"/>
    <w:rsid w:val="006C332A"/>
    <w:rsid w:val="006C6FCC"/>
    <w:rsid w:val="006C7DF9"/>
    <w:rsid w:val="006D08EB"/>
    <w:rsid w:val="006D233C"/>
    <w:rsid w:val="006D332D"/>
    <w:rsid w:val="006E56F9"/>
    <w:rsid w:val="006E67CA"/>
    <w:rsid w:val="006E7019"/>
    <w:rsid w:val="006E7CE7"/>
    <w:rsid w:val="006F159C"/>
    <w:rsid w:val="006F5863"/>
    <w:rsid w:val="006F6424"/>
    <w:rsid w:val="006F7E87"/>
    <w:rsid w:val="00703C50"/>
    <w:rsid w:val="007063F8"/>
    <w:rsid w:val="00714B4B"/>
    <w:rsid w:val="00717E78"/>
    <w:rsid w:val="007216FD"/>
    <w:rsid w:val="0072711C"/>
    <w:rsid w:val="00740220"/>
    <w:rsid w:val="00743E35"/>
    <w:rsid w:val="00745494"/>
    <w:rsid w:val="00747329"/>
    <w:rsid w:val="007543A2"/>
    <w:rsid w:val="00760F9B"/>
    <w:rsid w:val="007638A0"/>
    <w:rsid w:val="007653CA"/>
    <w:rsid w:val="0076621F"/>
    <w:rsid w:val="007667A6"/>
    <w:rsid w:val="00770B45"/>
    <w:rsid w:val="0077143F"/>
    <w:rsid w:val="00772100"/>
    <w:rsid w:val="00773033"/>
    <w:rsid w:val="00784DC9"/>
    <w:rsid w:val="00796E6F"/>
    <w:rsid w:val="007A6516"/>
    <w:rsid w:val="007B02C1"/>
    <w:rsid w:val="007B4BCC"/>
    <w:rsid w:val="007B5ADC"/>
    <w:rsid w:val="007B6FF9"/>
    <w:rsid w:val="007B795A"/>
    <w:rsid w:val="007C1C1A"/>
    <w:rsid w:val="007C7C25"/>
    <w:rsid w:val="007C7D7C"/>
    <w:rsid w:val="007D1394"/>
    <w:rsid w:val="007D1D01"/>
    <w:rsid w:val="007E3792"/>
    <w:rsid w:val="007E64F2"/>
    <w:rsid w:val="007E6B79"/>
    <w:rsid w:val="007E7DDB"/>
    <w:rsid w:val="007F24F3"/>
    <w:rsid w:val="007F7BA6"/>
    <w:rsid w:val="008200E4"/>
    <w:rsid w:val="008245F5"/>
    <w:rsid w:val="00824F55"/>
    <w:rsid w:val="0083660F"/>
    <w:rsid w:val="00836C4B"/>
    <w:rsid w:val="00840B33"/>
    <w:rsid w:val="00846A32"/>
    <w:rsid w:val="008477B2"/>
    <w:rsid w:val="00853844"/>
    <w:rsid w:val="00853F78"/>
    <w:rsid w:val="0086272A"/>
    <w:rsid w:val="008643D4"/>
    <w:rsid w:val="0087269B"/>
    <w:rsid w:val="00873367"/>
    <w:rsid w:val="00875ABB"/>
    <w:rsid w:val="00883C76"/>
    <w:rsid w:val="00884E1F"/>
    <w:rsid w:val="00887F7D"/>
    <w:rsid w:val="00891F94"/>
    <w:rsid w:val="00894290"/>
    <w:rsid w:val="008A0E54"/>
    <w:rsid w:val="008A2FF5"/>
    <w:rsid w:val="008A6B4C"/>
    <w:rsid w:val="008B63AA"/>
    <w:rsid w:val="008C060A"/>
    <w:rsid w:val="008C37DD"/>
    <w:rsid w:val="008C3B55"/>
    <w:rsid w:val="008C5A03"/>
    <w:rsid w:val="008E3465"/>
    <w:rsid w:val="008E4AC2"/>
    <w:rsid w:val="008F15CF"/>
    <w:rsid w:val="008F1A59"/>
    <w:rsid w:val="008F6CCF"/>
    <w:rsid w:val="00900053"/>
    <w:rsid w:val="009011AA"/>
    <w:rsid w:val="009060C8"/>
    <w:rsid w:val="00907F96"/>
    <w:rsid w:val="009125FA"/>
    <w:rsid w:val="00915348"/>
    <w:rsid w:val="009164C0"/>
    <w:rsid w:val="0092212C"/>
    <w:rsid w:val="009246DC"/>
    <w:rsid w:val="0092487E"/>
    <w:rsid w:val="009328AD"/>
    <w:rsid w:val="009400C0"/>
    <w:rsid w:val="009408D5"/>
    <w:rsid w:val="0095040C"/>
    <w:rsid w:val="009505D4"/>
    <w:rsid w:val="0095123C"/>
    <w:rsid w:val="00953FD6"/>
    <w:rsid w:val="00955120"/>
    <w:rsid w:val="00955F78"/>
    <w:rsid w:val="00963085"/>
    <w:rsid w:val="00973F90"/>
    <w:rsid w:val="009750E1"/>
    <w:rsid w:val="00980B76"/>
    <w:rsid w:val="00981A55"/>
    <w:rsid w:val="00983661"/>
    <w:rsid w:val="00984458"/>
    <w:rsid w:val="00984D61"/>
    <w:rsid w:val="00984F91"/>
    <w:rsid w:val="00985DA2"/>
    <w:rsid w:val="00997637"/>
    <w:rsid w:val="009A4196"/>
    <w:rsid w:val="009A5681"/>
    <w:rsid w:val="009B4AED"/>
    <w:rsid w:val="009B7AC7"/>
    <w:rsid w:val="009C1A08"/>
    <w:rsid w:val="009C424F"/>
    <w:rsid w:val="009C601A"/>
    <w:rsid w:val="009D49C6"/>
    <w:rsid w:val="009E3676"/>
    <w:rsid w:val="009E3D4A"/>
    <w:rsid w:val="009E6D48"/>
    <w:rsid w:val="009F27F6"/>
    <w:rsid w:val="009F6F93"/>
    <w:rsid w:val="00A01DE8"/>
    <w:rsid w:val="00A03562"/>
    <w:rsid w:val="00A05C1F"/>
    <w:rsid w:val="00A070F4"/>
    <w:rsid w:val="00A07112"/>
    <w:rsid w:val="00A11CEA"/>
    <w:rsid w:val="00A15296"/>
    <w:rsid w:val="00A2001C"/>
    <w:rsid w:val="00A20609"/>
    <w:rsid w:val="00A23BD7"/>
    <w:rsid w:val="00A24799"/>
    <w:rsid w:val="00A25CFB"/>
    <w:rsid w:val="00A2713F"/>
    <w:rsid w:val="00A32A16"/>
    <w:rsid w:val="00A336B3"/>
    <w:rsid w:val="00A353A4"/>
    <w:rsid w:val="00A44F9D"/>
    <w:rsid w:val="00A47409"/>
    <w:rsid w:val="00A51DDC"/>
    <w:rsid w:val="00A5643B"/>
    <w:rsid w:val="00A61034"/>
    <w:rsid w:val="00A62D5C"/>
    <w:rsid w:val="00A63673"/>
    <w:rsid w:val="00A67534"/>
    <w:rsid w:val="00A705D8"/>
    <w:rsid w:val="00A73108"/>
    <w:rsid w:val="00A77407"/>
    <w:rsid w:val="00A82F4A"/>
    <w:rsid w:val="00A862E4"/>
    <w:rsid w:val="00A941FA"/>
    <w:rsid w:val="00AA3A0F"/>
    <w:rsid w:val="00AA5B43"/>
    <w:rsid w:val="00AB14B1"/>
    <w:rsid w:val="00AB2A94"/>
    <w:rsid w:val="00AB76E6"/>
    <w:rsid w:val="00AC174A"/>
    <w:rsid w:val="00AC2985"/>
    <w:rsid w:val="00AD26EF"/>
    <w:rsid w:val="00AD45D3"/>
    <w:rsid w:val="00AD46B8"/>
    <w:rsid w:val="00AD6088"/>
    <w:rsid w:val="00AE46BD"/>
    <w:rsid w:val="00AE4A31"/>
    <w:rsid w:val="00AE4F2C"/>
    <w:rsid w:val="00AE68B9"/>
    <w:rsid w:val="00AF310B"/>
    <w:rsid w:val="00AF7EFD"/>
    <w:rsid w:val="00B04275"/>
    <w:rsid w:val="00B1082E"/>
    <w:rsid w:val="00B10838"/>
    <w:rsid w:val="00B10CA2"/>
    <w:rsid w:val="00B131C3"/>
    <w:rsid w:val="00B227CA"/>
    <w:rsid w:val="00B23093"/>
    <w:rsid w:val="00B262A4"/>
    <w:rsid w:val="00B264CE"/>
    <w:rsid w:val="00B30DA0"/>
    <w:rsid w:val="00B33467"/>
    <w:rsid w:val="00B35A05"/>
    <w:rsid w:val="00B45CA8"/>
    <w:rsid w:val="00B46F43"/>
    <w:rsid w:val="00B47245"/>
    <w:rsid w:val="00B51104"/>
    <w:rsid w:val="00B54484"/>
    <w:rsid w:val="00B60B4E"/>
    <w:rsid w:val="00B61E68"/>
    <w:rsid w:val="00B6694C"/>
    <w:rsid w:val="00B763A1"/>
    <w:rsid w:val="00B76FE6"/>
    <w:rsid w:val="00B83459"/>
    <w:rsid w:val="00B91AC1"/>
    <w:rsid w:val="00B94D92"/>
    <w:rsid w:val="00B97C13"/>
    <w:rsid w:val="00BA18CD"/>
    <w:rsid w:val="00BA1ED6"/>
    <w:rsid w:val="00BA2290"/>
    <w:rsid w:val="00BA39DB"/>
    <w:rsid w:val="00BA49B8"/>
    <w:rsid w:val="00BB0C50"/>
    <w:rsid w:val="00BB6D8F"/>
    <w:rsid w:val="00BC096E"/>
    <w:rsid w:val="00BC4073"/>
    <w:rsid w:val="00BD2624"/>
    <w:rsid w:val="00BD73D2"/>
    <w:rsid w:val="00BE18E3"/>
    <w:rsid w:val="00BE27D7"/>
    <w:rsid w:val="00BE3FE0"/>
    <w:rsid w:val="00BE6D19"/>
    <w:rsid w:val="00BF6DB9"/>
    <w:rsid w:val="00C0037A"/>
    <w:rsid w:val="00C073D2"/>
    <w:rsid w:val="00C0791E"/>
    <w:rsid w:val="00C11B5D"/>
    <w:rsid w:val="00C12138"/>
    <w:rsid w:val="00C13297"/>
    <w:rsid w:val="00C1383A"/>
    <w:rsid w:val="00C14298"/>
    <w:rsid w:val="00C14873"/>
    <w:rsid w:val="00C20795"/>
    <w:rsid w:val="00C22348"/>
    <w:rsid w:val="00C2434E"/>
    <w:rsid w:val="00C251DE"/>
    <w:rsid w:val="00C25554"/>
    <w:rsid w:val="00C27B42"/>
    <w:rsid w:val="00C27B48"/>
    <w:rsid w:val="00C30831"/>
    <w:rsid w:val="00C34C4D"/>
    <w:rsid w:val="00C35810"/>
    <w:rsid w:val="00C437EC"/>
    <w:rsid w:val="00C4593E"/>
    <w:rsid w:val="00C459AD"/>
    <w:rsid w:val="00C45C2A"/>
    <w:rsid w:val="00C51D09"/>
    <w:rsid w:val="00C55E44"/>
    <w:rsid w:val="00C56EB8"/>
    <w:rsid w:val="00C610FB"/>
    <w:rsid w:val="00C61FB8"/>
    <w:rsid w:val="00C64E40"/>
    <w:rsid w:val="00C67684"/>
    <w:rsid w:val="00C71209"/>
    <w:rsid w:val="00C9150C"/>
    <w:rsid w:val="00C915C3"/>
    <w:rsid w:val="00C94DE4"/>
    <w:rsid w:val="00CA1CC2"/>
    <w:rsid w:val="00CA511F"/>
    <w:rsid w:val="00CA5755"/>
    <w:rsid w:val="00CA63DC"/>
    <w:rsid w:val="00CA7D51"/>
    <w:rsid w:val="00CB2077"/>
    <w:rsid w:val="00CB25E2"/>
    <w:rsid w:val="00CB45A0"/>
    <w:rsid w:val="00CB62A5"/>
    <w:rsid w:val="00CC1217"/>
    <w:rsid w:val="00CC700A"/>
    <w:rsid w:val="00CC736E"/>
    <w:rsid w:val="00CD1BE5"/>
    <w:rsid w:val="00CD33C9"/>
    <w:rsid w:val="00CD3A01"/>
    <w:rsid w:val="00CD6643"/>
    <w:rsid w:val="00CE1992"/>
    <w:rsid w:val="00CE46AF"/>
    <w:rsid w:val="00CE7364"/>
    <w:rsid w:val="00CF0CE3"/>
    <w:rsid w:val="00CF2542"/>
    <w:rsid w:val="00CF5346"/>
    <w:rsid w:val="00CF7A58"/>
    <w:rsid w:val="00D010AC"/>
    <w:rsid w:val="00D022FF"/>
    <w:rsid w:val="00D0251A"/>
    <w:rsid w:val="00D04DDD"/>
    <w:rsid w:val="00D07F97"/>
    <w:rsid w:val="00D13759"/>
    <w:rsid w:val="00D23589"/>
    <w:rsid w:val="00D24D31"/>
    <w:rsid w:val="00D30169"/>
    <w:rsid w:val="00D309AB"/>
    <w:rsid w:val="00D31882"/>
    <w:rsid w:val="00D31E8B"/>
    <w:rsid w:val="00D331BB"/>
    <w:rsid w:val="00D33F7B"/>
    <w:rsid w:val="00D34F8C"/>
    <w:rsid w:val="00D43B67"/>
    <w:rsid w:val="00D44751"/>
    <w:rsid w:val="00D47AD3"/>
    <w:rsid w:val="00D5679B"/>
    <w:rsid w:val="00D632E9"/>
    <w:rsid w:val="00D66BB7"/>
    <w:rsid w:val="00D8269F"/>
    <w:rsid w:val="00D829DD"/>
    <w:rsid w:val="00D85058"/>
    <w:rsid w:val="00D90C47"/>
    <w:rsid w:val="00D9134E"/>
    <w:rsid w:val="00D94E9E"/>
    <w:rsid w:val="00DA24FE"/>
    <w:rsid w:val="00DA67BD"/>
    <w:rsid w:val="00DA6DA1"/>
    <w:rsid w:val="00DB08F7"/>
    <w:rsid w:val="00DB1B53"/>
    <w:rsid w:val="00DB25BC"/>
    <w:rsid w:val="00DB4198"/>
    <w:rsid w:val="00DB4375"/>
    <w:rsid w:val="00DC356F"/>
    <w:rsid w:val="00DD30C9"/>
    <w:rsid w:val="00DD33C7"/>
    <w:rsid w:val="00DD37FC"/>
    <w:rsid w:val="00DD3EDE"/>
    <w:rsid w:val="00DD4695"/>
    <w:rsid w:val="00DD552B"/>
    <w:rsid w:val="00DD5989"/>
    <w:rsid w:val="00DE6575"/>
    <w:rsid w:val="00DE78A6"/>
    <w:rsid w:val="00DF272E"/>
    <w:rsid w:val="00DF4C59"/>
    <w:rsid w:val="00DF4DAB"/>
    <w:rsid w:val="00E00FB1"/>
    <w:rsid w:val="00E0555F"/>
    <w:rsid w:val="00E13105"/>
    <w:rsid w:val="00E176CF"/>
    <w:rsid w:val="00E23F77"/>
    <w:rsid w:val="00E26DED"/>
    <w:rsid w:val="00E3027E"/>
    <w:rsid w:val="00E329F9"/>
    <w:rsid w:val="00E5275C"/>
    <w:rsid w:val="00E53D1A"/>
    <w:rsid w:val="00E65BE7"/>
    <w:rsid w:val="00E669FD"/>
    <w:rsid w:val="00E67228"/>
    <w:rsid w:val="00E67D48"/>
    <w:rsid w:val="00E7109E"/>
    <w:rsid w:val="00E9207F"/>
    <w:rsid w:val="00E92DDA"/>
    <w:rsid w:val="00E934BA"/>
    <w:rsid w:val="00EA1ED1"/>
    <w:rsid w:val="00EC38F5"/>
    <w:rsid w:val="00EC4DC0"/>
    <w:rsid w:val="00EC65D7"/>
    <w:rsid w:val="00EC7ACE"/>
    <w:rsid w:val="00ED2862"/>
    <w:rsid w:val="00ED6A0D"/>
    <w:rsid w:val="00ED7F8E"/>
    <w:rsid w:val="00EE27E0"/>
    <w:rsid w:val="00EE3B11"/>
    <w:rsid w:val="00EE568A"/>
    <w:rsid w:val="00EE77DE"/>
    <w:rsid w:val="00EF2F54"/>
    <w:rsid w:val="00EF4EC2"/>
    <w:rsid w:val="00EF5AD2"/>
    <w:rsid w:val="00EF738B"/>
    <w:rsid w:val="00F00BDA"/>
    <w:rsid w:val="00F011DE"/>
    <w:rsid w:val="00F01C07"/>
    <w:rsid w:val="00F02791"/>
    <w:rsid w:val="00F032D8"/>
    <w:rsid w:val="00F043DD"/>
    <w:rsid w:val="00F04430"/>
    <w:rsid w:val="00F05F13"/>
    <w:rsid w:val="00F0795E"/>
    <w:rsid w:val="00F1074D"/>
    <w:rsid w:val="00F12AE4"/>
    <w:rsid w:val="00F13567"/>
    <w:rsid w:val="00F14B10"/>
    <w:rsid w:val="00F1656B"/>
    <w:rsid w:val="00F31E36"/>
    <w:rsid w:val="00F33F92"/>
    <w:rsid w:val="00F37FAC"/>
    <w:rsid w:val="00F429AD"/>
    <w:rsid w:val="00F42BA6"/>
    <w:rsid w:val="00F45D1C"/>
    <w:rsid w:val="00F45E95"/>
    <w:rsid w:val="00F47431"/>
    <w:rsid w:val="00F50A9A"/>
    <w:rsid w:val="00F5772B"/>
    <w:rsid w:val="00F646CA"/>
    <w:rsid w:val="00F711E1"/>
    <w:rsid w:val="00F73FD6"/>
    <w:rsid w:val="00F772DD"/>
    <w:rsid w:val="00F8084A"/>
    <w:rsid w:val="00F81850"/>
    <w:rsid w:val="00F819E0"/>
    <w:rsid w:val="00F81FA6"/>
    <w:rsid w:val="00F844C9"/>
    <w:rsid w:val="00F86E1C"/>
    <w:rsid w:val="00F87349"/>
    <w:rsid w:val="00F87355"/>
    <w:rsid w:val="00F90999"/>
    <w:rsid w:val="00F91105"/>
    <w:rsid w:val="00F92601"/>
    <w:rsid w:val="00F93BC5"/>
    <w:rsid w:val="00FA0562"/>
    <w:rsid w:val="00FA1742"/>
    <w:rsid w:val="00FA20B2"/>
    <w:rsid w:val="00FA44AB"/>
    <w:rsid w:val="00FB0825"/>
    <w:rsid w:val="00FB12B7"/>
    <w:rsid w:val="00FB27FE"/>
    <w:rsid w:val="00FC1ADF"/>
    <w:rsid w:val="00FC48B8"/>
    <w:rsid w:val="00FC557F"/>
    <w:rsid w:val="00FC69D8"/>
    <w:rsid w:val="00FD7190"/>
    <w:rsid w:val="00FE2A79"/>
    <w:rsid w:val="00FE770C"/>
    <w:rsid w:val="19F47459"/>
    <w:rsid w:val="3C7C32F9"/>
    <w:rsid w:val="40548C16"/>
    <w:rsid w:val="5C29F04C"/>
    <w:rsid w:val="7605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78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F82"/>
    <w:pPr>
      <w:widowControl w:val="0"/>
    </w:pPr>
    <w:rPr>
      <w:sz w:val="24"/>
      <w:lang w:val="en-US" w:eastAsia="en-US"/>
    </w:rPr>
  </w:style>
  <w:style w:type="paragraph" w:styleId="Heading1">
    <w:name w:val="heading 1"/>
    <w:aliases w:val="HR1,Heading 1 Char,HR1 Char"/>
    <w:basedOn w:val="Normal"/>
    <w:next w:val="Normal"/>
    <w:qFormat/>
    <w:locked/>
    <w:rsid w:val="006B5B9B"/>
    <w:pPr>
      <w:keepNext/>
      <w:numPr>
        <w:numId w:val="1"/>
      </w:numPr>
      <w:jc w:val="both"/>
      <w:outlineLvl w:val="0"/>
    </w:pPr>
    <w:rPr>
      <w:b/>
      <w:snapToGrid w:val="0"/>
      <w:lang w:val="en-GB"/>
    </w:rPr>
  </w:style>
  <w:style w:type="paragraph" w:styleId="Heading2">
    <w:name w:val="heading 2"/>
    <w:basedOn w:val="Normal"/>
    <w:next w:val="Normal"/>
    <w:qFormat/>
    <w:locked/>
    <w:rsid w:val="004053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6F586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2B24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0F82"/>
    <w:pPr>
      <w:tabs>
        <w:tab w:val="center" w:pos="4153"/>
        <w:tab w:val="right" w:pos="8306"/>
      </w:tabs>
    </w:pPr>
  </w:style>
  <w:style w:type="character" w:customStyle="1" w:styleId="HeaderChar">
    <w:name w:val="Header Char"/>
    <w:basedOn w:val="DefaultParagraphFont"/>
    <w:link w:val="Header"/>
    <w:semiHidden/>
    <w:locked/>
    <w:rsid w:val="003F0F82"/>
    <w:rPr>
      <w:rFonts w:cs="Times New Roman"/>
      <w:sz w:val="24"/>
      <w:lang w:val="en-US" w:eastAsia="en-US"/>
    </w:rPr>
  </w:style>
  <w:style w:type="paragraph" w:styleId="Footer">
    <w:name w:val="footer"/>
    <w:basedOn w:val="Normal"/>
    <w:link w:val="FooterChar"/>
    <w:uiPriority w:val="99"/>
    <w:rsid w:val="003F0F82"/>
    <w:pPr>
      <w:tabs>
        <w:tab w:val="center" w:pos="4153"/>
        <w:tab w:val="right" w:pos="8306"/>
      </w:tabs>
    </w:pPr>
  </w:style>
  <w:style w:type="character" w:customStyle="1" w:styleId="FooterChar">
    <w:name w:val="Footer Char"/>
    <w:basedOn w:val="DefaultParagraphFont"/>
    <w:link w:val="Footer"/>
    <w:uiPriority w:val="99"/>
    <w:locked/>
    <w:rsid w:val="003F0F82"/>
    <w:rPr>
      <w:rFonts w:cs="Times New Roman"/>
      <w:sz w:val="24"/>
      <w:lang w:val="en-US" w:eastAsia="en-US"/>
    </w:rPr>
  </w:style>
  <w:style w:type="table" w:styleId="TableGrid">
    <w:name w:val="Table Grid"/>
    <w:basedOn w:val="TableNormal"/>
    <w:rsid w:val="003F0F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F82"/>
    <w:pPr>
      <w:widowControl/>
      <w:numPr>
        <w:numId w:val="2"/>
      </w:numPr>
      <w:spacing w:line="264" w:lineRule="auto"/>
    </w:pPr>
    <w:rPr>
      <w:color w:val="1F497D"/>
      <w:sz w:val="22"/>
      <w:szCs w:val="24"/>
      <w:lang w:val="en-GB" w:eastAsia="en-GB"/>
    </w:rPr>
  </w:style>
  <w:style w:type="paragraph" w:styleId="NormalWeb">
    <w:name w:val="Normal (Web)"/>
    <w:basedOn w:val="Normal"/>
    <w:rsid w:val="003F0F82"/>
    <w:pPr>
      <w:widowControl/>
      <w:spacing w:before="100" w:beforeAutospacing="1" w:after="240" w:line="360" w:lineRule="atLeast"/>
    </w:pPr>
    <w:rPr>
      <w:szCs w:val="24"/>
      <w:lang w:val="en-GB" w:eastAsia="en-GB"/>
    </w:rPr>
  </w:style>
  <w:style w:type="paragraph" w:customStyle="1" w:styleId="msolistparagraph0">
    <w:name w:val="msolistparagraph"/>
    <w:basedOn w:val="Normal"/>
    <w:rsid w:val="006B5B9B"/>
    <w:pPr>
      <w:widowControl/>
      <w:ind w:left="720"/>
    </w:pPr>
    <w:rPr>
      <w:rFonts w:ascii="Calibri" w:hAnsi="Calibri"/>
      <w:sz w:val="22"/>
      <w:szCs w:val="22"/>
      <w:lang w:val="en-GB" w:eastAsia="en-GB"/>
    </w:rPr>
  </w:style>
  <w:style w:type="paragraph" w:styleId="BalloonText">
    <w:name w:val="Balloon Text"/>
    <w:basedOn w:val="Normal"/>
    <w:semiHidden/>
    <w:rsid w:val="00CE1992"/>
    <w:rPr>
      <w:rFonts w:ascii="Tahoma" w:hAnsi="Tahoma" w:cs="Tahoma"/>
      <w:sz w:val="16"/>
      <w:szCs w:val="16"/>
    </w:rPr>
  </w:style>
  <w:style w:type="paragraph" w:styleId="FootnoteText">
    <w:name w:val="footnote text"/>
    <w:basedOn w:val="Normal"/>
    <w:link w:val="FootnoteTextChar"/>
    <w:semiHidden/>
    <w:unhideWhenUsed/>
    <w:rsid w:val="00405335"/>
    <w:pPr>
      <w:widowControl/>
      <w:overflowPunct w:val="0"/>
      <w:autoSpaceDE w:val="0"/>
      <w:autoSpaceDN w:val="0"/>
      <w:adjustRightInd w:val="0"/>
      <w:spacing w:before="120" w:after="120"/>
      <w:jc w:val="both"/>
      <w:textAlignment w:val="baseline"/>
    </w:pPr>
    <w:rPr>
      <w:sz w:val="20"/>
      <w:lang w:val="en-GB"/>
    </w:rPr>
  </w:style>
  <w:style w:type="character" w:customStyle="1" w:styleId="FootnoteTextChar">
    <w:name w:val="Footnote Text Char"/>
    <w:basedOn w:val="DefaultParagraphFont"/>
    <w:link w:val="FootnoteText"/>
    <w:semiHidden/>
    <w:rsid w:val="00405335"/>
    <w:rPr>
      <w:lang w:val="en-GB" w:eastAsia="en-US" w:bidi="ar-SA"/>
    </w:rPr>
  </w:style>
  <w:style w:type="character" w:styleId="FootnoteReference">
    <w:name w:val="footnote reference"/>
    <w:basedOn w:val="DefaultParagraphFont"/>
    <w:semiHidden/>
    <w:unhideWhenUsed/>
    <w:rsid w:val="00405335"/>
    <w:rPr>
      <w:vertAlign w:val="superscript"/>
    </w:rPr>
  </w:style>
  <w:style w:type="paragraph" w:customStyle="1" w:styleId="BodyTextGrey">
    <w:name w:val="Body Text Grey"/>
    <w:basedOn w:val="BodyText"/>
    <w:link w:val="BodyTextGreyChar"/>
    <w:qFormat/>
    <w:rsid w:val="006F5863"/>
  </w:style>
  <w:style w:type="character" w:customStyle="1" w:styleId="BodyTextGreyChar">
    <w:name w:val="Body Text Grey Char"/>
    <w:link w:val="BodyTextGrey"/>
    <w:rsid w:val="006F5863"/>
    <w:rPr>
      <w:sz w:val="24"/>
      <w:lang w:val="en-US" w:eastAsia="en-US"/>
    </w:rPr>
  </w:style>
  <w:style w:type="numbering" w:customStyle="1" w:styleId="HRBullet">
    <w:name w:val="HR Bullet"/>
    <w:uiPriority w:val="99"/>
    <w:rsid w:val="006F5863"/>
    <w:pPr>
      <w:numPr>
        <w:numId w:val="3"/>
      </w:numPr>
    </w:pPr>
  </w:style>
  <w:style w:type="paragraph" w:customStyle="1" w:styleId="BulletHymans">
    <w:name w:val="Bullet Hymans"/>
    <w:uiPriority w:val="2"/>
    <w:qFormat/>
    <w:rsid w:val="006F5863"/>
    <w:pPr>
      <w:numPr>
        <w:numId w:val="3"/>
      </w:numPr>
      <w:spacing w:before="20" w:after="140" w:line="280" w:lineRule="exact"/>
    </w:pPr>
    <w:rPr>
      <w:rFonts w:ascii="Arial" w:hAnsi="Arial" w:cs="Arial"/>
      <w:iCs/>
      <w:color w:val="4B4B4B"/>
      <w:lang w:eastAsia="en-US"/>
    </w:rPr>
  </w:style>
  <w:style w:type="paragraph" w:customStyle="1" w:styleId="Heading1Num">
    <w:name w:val="Heading 1 Num"/>
    <w:basedOn w:val="Heading1"/>
    <w:next w:val="Normal"/>
    <w:uiPriority w:val="1"/>
    <w:qFormat/>
    <w:rsid w:val="00F8084A"/>
    <w:pPr>
      <w:keepLines/>
      <w:widowControl/>
      <w:numPr>
        <w:numId w:val="8"/>
      </w:numPr>
      <w:spacing w:before="140" w:after="140" w:line="360" w:lineRule="atLeast"/>
      <w:jc w:val="left"/>
    </w:pPr>
    <w:rPr>
      <w:rFonts w:ascii="Calibri" w:hAnsi="Calibri"/>
      <w:snapToGrid/>
      <w:color w:val="61207F"/>
      <w:kern w:val="28"/>
    </w:rPr>
  </w:style>
  <w:style w:type="paragraph" w:customStyle="1" w:styleId="Heading2Num">
    <w:name w:val="Heading 2 Num"/>
    <w:basedOn w:val="Heading2"/>
    <w:next w:val="Normal"/>
    <w:uiPriority w:val="1"/>
    <w:qFormat/>
    <w:rsid w:val="001F2473"/>
    <w:pPr>
      <w:keepLines/>
      <w:widowControl/>
      <w:numPr>
        <w:ilvl w:val="1"/>
        <w:numId w:val="8"/>
      </w:numPr>
      <w:spacing w:before="0" w:after="0" w:line="280" w:lineRule="atLeast"/>
    </w:pPr>
    <w:rPr>
      <w:rFonts w:ascii="Calibri" w:hAnsi="Calibri"/>
      <w:bCs w:val="0"/>
      <w:i w:val="0"/>
      <w:color w:val="244D7A"/>
      <w:sz w:val="24"/>
      <w:szCs w:val="20"/>
      <w:lang w:val="en-GB"/>
    </w:rPr>
  </w:style>
  <w:style w:type="paragraph" w:customStyle="1" w:styleId="Heading3Num">
    <w:name w:val="Heading 3 Num"/>
    <w:basedOn w:val="Heading3"/>
    <w:next w:val="Normal"/>
    <w:uiPriority w:val="1"/>
    <w:qFormat/>
    <w:rsid w:val="001F2473"/>
    <w:pPr>
      <w:keepLines/>
      <w:widowControl/>
      <w:numPr>
        <w:ilvl w:val="2"/>
        <w:numId w:val="8"/>
      </w:numPr>
      <w:spacing w:before="20" w:after="20" w:line="280" w:lineRule="atLeast"/>
    </w:pPr>
    <w:rPr>
      <w:rFonts w:ascii="Calibri" w:eastAsia="Times New Roman" w:hAnsi="Calibri" w:cs="Arial"/>
      <w:bCs w:val="0"/>
      <w:iCs/>
      <w:color w:val="000000"/>
      <w:sz w:val="24"/>
      <w:szCs w:val="20"/>
      <w:lang w:val="en-GB"/>
    </w:rPr>
  </w:style>
  <w:style w:type="paragraph" w:styleId="BodyText">
    <w:name w:val="Body Text"/>
    <w:basedOn w:val="Normal"/>
    <w:link w:val="BodyTextChar"/>
    <w:rsid w:val="006F5863"/>
    <w:pPr>
      <w:spacing w:after="120"/>
    </w:pPr>
  </w:style>
  <w:style w:type="character" w:customStyle="1" w:styleId="BodyTextChar">
    <w:name w:val="Body Text Char"/>
    <w:basedOn w:val="DefaultParagraphFont"/>
    <w:link w:val="BodyText"/>
    <w:rsid w:val="006F5863"/>
    <w:rPr>
      <w:sz w:val="24"/>
      <w:lang w:val="en-US" w:eastAsia="en-US"/>
    </w:rPr>
  </w:style>
  <w:style w:type="character" w:customStyle="1" w:styleId="Heading3Char">
    <w:name w:val="Heading 3 Char"/>
    <w:basedOn w:val="DefaultParagraphFont"/>
    <w:link w:val="Heading3"/>
    <w:rsid w:val="006F5863"/>
    <w:rPr>
      <w:rFonts w:asciiTheme="majorHAnsi" w:eastAsiaTheme="majorEastAsia" w:hAnsiTheme="majorHAnsi" w:cstheme="majorBidi"/>
      <w:b/>
      <w:bCs/>
      <w:sz w:val="26"/>
      <w:szCs w:val="26"/>
      <w:lang w:val="en-US" w:eastAsia="en-US"/>
    </w:rPr>
  </w:style>
  <w:style w:type="character" w:styleId="CommentReference">
    <w:name w:val="annotation reference"/>
    <w:basedOn w:val="DefaultParagraphFont"/>
    <w:uiPriority w:val="99"/>
    <w:rsid w:val="00563422"/>
    <w:rPr>
      <w:sz w:val="16"/>
      <w:szCs w:val="16"/>
    </w:rPr>
  </w:style>
  <w:style w:type="paragraph" w:styleId="CommentText">
    <w:name w:val="annotation text"/>
    <w:basedOn w:val="Normal"/>
    <w:link w:val="CommentTextChar"/>
    <w:uiPriority w:val="99"/>
    <w:rsid w:val="00563422"/>
    <w:rPr>
      <w:sz w:val="20"/>
    </w:rPr>
  </w:style>
  <w:style w:type="character" w:customStyle="1" w:styleId="CommentTextChar">
    <w:name w:val="Comment Text Char"/>
    <w:basedOn w:val="DefaultParagraphFont"/>
    <w:link w:val="CommentText"/>
    <w:uiPriority w:val="99"/>
    <w:rsid w:val="00563422"/>
    <w:rPr>
      <w:lang w:val="en-US" w:eastAsia="en-US"/>
    </w:rPr>
  </w:style>
  <w:style w:type="paragraph" w:styleId="CommentSubject">
    <w:name w:val="annotation subject"/>
    <w:basedOn w:val="CommentText"/>
    <w:next w:val="CommentText"/>
    <w:link w:val="CommentSubjectChar"/>
    <w:rsid w:val="00563422"/>
    <w:rPr>
      <w:b/>
      <w:bCs/>
    </w:rPr>
  </w:style>
  <w:style w:type="character" w:customStyle="1" w:styleId="CommentSubjectChar">
    <w:name w:val="Comment Subject Char"/>
    <w:basedOn w:val="CommentTextChar"/>
    <w:link w:val="CommentSubject"/>
    <w:rsid w:val="00563422"/>
    <w:rPr>
      <w:b/>
      <w:bCs/>
      <w:lang w:val="en-US" w:eastAsia="en-US"/>
    </w:rPr>
  </w:style>
  <w:style w:type="character" w:styleId="Hyperlink">
    <w:name w:val="Hyperlink"/>
    <w:basedOn w:val="DefaultParagraphFont"/>
    <w:uiPriority w:val="99"/>
    <w:rsid w:val="004E2D84"/>
    <w:rPr>
      <w:color w:val="0000FF" w:themeColor="hyperlink"/>
      <w:u w:val="single"/>
    </w:rPr>
  </w:style>
  <w:style w:type="paragraph" w:styleId="Revision">
    <w:name w:val="Revision"/>
    <w:hidden/>
    <w:uiPriority w:val="99"/>
    <w:semiHidden/>
    <w:rsid w:val="007E3792"/>
    <w:rPr>
      <w:sz w:val="24"/>
      <w:lang w:val="en-US" w:eastAsia="en-US"/>
    </w:rPr>
  </w:style>
  <w:style w:type="numbering" w:customStyle="1" w:styleId="HRNumber">
    <w:name w:val="HR Number"/>
    <w:uiPriority w:val="99"/>
    <w:rsid w:val="00984D61"/>
    <w:pPr>
      <w:numPr>
        <w:numId w:val="4"/>
      </w:numPr>
    </w:pPr>
  </w:style>
  <w:style w:type="paragraph" w:customStyle="1" w:styleId="NumberHymans">
    <w:name w:val="Number Hymans"/>
    <w:uiPriority w:val="2"/>
    <w:qFormat/>
    <w:rsid w:val="00984D61"/>
    <w:pPr>
      <w:numPr>
        <w:numId w:val="4"/>
      </w:numPr>
      <w:spacing w:before="20" w:after="140" w:line="280" w:lineRule="exact"/>
    </w:pPr>
    <w:rPr>
      <w:rFonts w:ascii="Arial" w:hAnsi="Arial" w:cs="Arial"/>
      <w:iCs/>
      <w:color w:val="4B4B4B"/>
      <w:lang w:eastAsia="en-US"/>
    </w:rPr>
  </w:style>
  <w:style w:type="paragraph" w:customStyle="1" w:styleId="hBullet1">
    <w:name w:val="hBullet1"/>
    <w:basedOn w:val="Normal"/>
    <w:uiPriority w:val="3"/>
    <w:rsid w:val="00F819E0"/>
    <w:pPr>
      <w:numPr>
        <w:numId w:val="5"/>
      </w:numPr>
      <w:spacing w:before="120" w:after="120" w:line="280" w:lineRule="atLeast"/>
    </w:pPr>
    <w:rPr>
      <w:rFonts w:ascii="Arial" w:hAnsi="Arial"/>
      <w:sz w:val="20"/>
      <w:szCs w:val="24"/>
      <w:lang w:val="en-GB" w:eastAsia="en-GB"/>
    </w:rPr>
  </w:style>
  <w:style w:type="character" w:customStyle="1" w:styleId="Heading4Char">
    <w:name w:val="Heading 4 Char"/>
    <w:basedOn w:val="DefaultParagraphFont"/>
    <w:link w:val="Heading4"/>
    <w:semiHidden/>
    <w:rsid w:val="002B2470"/>
    <w:rPr>
      <w:rFonts w:asciiTheme="majorHAnsi" w:eastAsiaTheme="majorEastAsia" w:hAnsiTheme="majorHAnsi" w:cstheme="majorBidi"/>
      <w:b/>
      <w:bCs/>
      <w:i/>
      <w:iCs/>
      <w:color w:val="4F81BD" w:themeColor="accent1"/>
      <w:sz w:val="24"/>
      <w:lang w:val="en-US" w:eastAsia="en-US"/>
    </w:rPr>
  </w:style>
  <w:style w:type="paragraph" w:customStyle="1" w:styleId="PensionBulletin">
    <w:name w:val="Pension Bulletin"/>
    <w:basedOn w:val="Normal"/>
    <w:next w:val="Normal"/>
    <w:rsid w:val="009C601A"/>
    <w:pPr>
      <w:widowControl/>
    </w:pPr>
    <w:rPr>
      <w:rFonts w:ascii="Arial Narrow" w:hAnsi="Arial Narrow"/>
      <w:i/>
      <w:iCs/>
      <w:color w:val="009DDD"/>
      <w:kern w:val="28"/>
      <w:sz w:val="56"/>
      <w:szCs w:val="56"/>
      <w:lang w:val="en-GB" w:eastAsia="en-GB"/>
    </w:rPr>
  </w:style>
  <w:style w:type="paragraph" w:customStyle="1" w:styleId="Default">
    <w:name w:val="Default"/>
    <w:rsid w:val="00DD37FC"/>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472F95"/>
    <w:rPr>
      <w:color w:val="605E5C"/>
      <w:shd w:val="clear" w:color="auto" w:fill="E1DFDD"/>
    </w:rPr>
  </w:style>
  <w:style w:type="character" w:customStyle="1" w:styleId="UnresolvedMention2">
    <w:name w:val="Unresolved Mention2"/>
    <w:basedOn w:val="DefaultParagraphFont"/>
    <w:uiPriority w:val="99"/>
    <w:semiHidden/>
    <w:unhideWhenUsed/>
    <w:rsid w:val="0012089E"/>
    <w:rPr>
      <w:color w:val="605E5C"/>
      <w:shd w:val="clear" w:color="auto" w:fill="E1DFDD"/>
    </w:rPr>
  </w:style>
  <w:style w:type="paragraph" w:customStyle="1" w:styleId="asubheading">
    <w:name w:val="a) sub heading"/>
    <w:basedOn w:val="Heading4"/>
    <w:qFormat/>
    <w:rsid w:val="00621D79"/>
    <w:pPr>
      <w:spacing w:after="180"/>
      <w:ind w:left="1276" w:hanging="709"/>
    </w:pPr>
    <w:rPr>
      <w:rFonts w:ascii="Calibri" w:hAnsi="Calibri" w:cs="Arial"/>
      <w:b w:val="0"/>
      <w:i w:val="0"/>
      <w:iCs w:val="0"/>
      <w:color w:val="61207F"/>
      <w:szCs w:val="24"/>
      <w:lang w:val="en-GB" w:eastAsia="en-GB"/>
    </w:rPr>
  </w:style>
  <w:style w:type="paragraph" w:styleId="TOC2">
    <w:name w:val="toc 2"/>
    <w:basedOn w:val="Normal"/>
    <w:next w:val="Normal"/>
    <w:autoRedefine/>
    <w:uiPriority w:val="39"/>
    <w:unhideWhenUsed/>
    <w:locked/>
    <w:rsid w:val="00A705D8"/>
    <w:pPr>
      <w:tabs>
        <w:tab w:val="right" w:leader="dot" w:pos="9016"/>
      </w:tabs>
      <w:spacing w:after="100"/>
      <w:ind w:left="240"/>
    </w:pPr>
  </w:style>
  <w:style w:type="paragraph" w:styleId="TOC1">
    <w:name w:val="toc 1"/>
    <w:basedOn w:val="Normal"/>
    <w:next w:val="Normal"/>
    <w:autoRedefine/>
    <w:uiPriority w:val="39"/>
    <w:unhideWhenUsed/>
    <w:locked/>
    <w:rsid w:val="002662E6"/>
    <w:pPr>
      <w:tabs>
        <w:tab w:val="left" w:pos="480"/>
        <w:tab w:val="right" w:leader="dot" w:pos="9016"/>
      </w:tabs>
      <w:spacing w:after="100"/>
    </w:pPr>
    <w:rPr>
      <w:rFonts w:asciiTheme="minorHAnsi" w:hAnsiTheme="minorHAnsi" w:cstheme="minorHAnsi"/>
      <w:noProof/>
      <w:sz w:val="22"/>
      <w:szCs w:val="22"/>
      <w:lang w:val="en-GB" w:eastAsia="en-GB"/>
    </w:rPr>
  </w:style>
  <w:style w:type="paragraph" w:styleId="TOC3">
    <w:name w:val="toc 3"/>
    <w:basedOn w:val="Normal"/>
    <w:next w:val="Normal"/>
    <w:autoRedefine/>
    <w:uiPriority w:val="39"/>
    <w:unhideWhenUsed/>
    <w:locked/>
    <w:rsid w:val="00565013"/>
    <w:pPr>
      <w:spacing w:after="100"/>
      <w:ind w:left="480"/>
    </w:pPr>
  </w:style>
  <w:style w:type="character" w:styleId="FollowedHyperlink">
    <w:name w:val="FollowedHyperlink"/>
    <w:basedOn w:val="DefaultParagraphFont"/>
    <w:semiHidden/>
    <w:unhideWhenUsed/>
    <w:rsid w:val="00F81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single" w:sz="6" w:space="8" w:color="AFC3C9"/>
                    <w:bottom w:val="none" w:sz="0" w:space="0" w:color="auto"/>
                    <w:right w:val="single" w:sz="6" w:space="8" w:color="AFC3C9"/>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50275">
      <w:bodyDiv w:val="1"/>
      <w:marLeft w:val="0"/>
      <w:marRight w:val="0"/>
      <w:marTop w:val="0"/>
      <w:marBottom w:val="0"/>
      <w:divBdr>
        <w:top w:val="none" w:sz="0" w:space="0" w:color="auto"/>
        <w:left w:val="none" w:sz="0" w:space="0" w:color="auto"/>
        <w:bottom w:val="none" w:sz="0" w:space="0" w:color="auto"/>
        <w:right w:val="none" w:sz="0" w:space="0" w:color="auto"/>
      </w:divBdr>
    </w:div>
    <w:div w:id="18353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psregs.org/schemeregs/lgpsregs2013/timeline.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3F2CF-AD59-44F3-9B58-21AE32413A15}">
  <ds:schemaRefs>
    <ds:schemaRef ds:uri="http://schemas.openxmlformats.org/officeDocument/2006/bibliography"/>
  </ds:schemaRefs>
</ds:datastoreItem>
</file>

<file path=customXml/itemProps2.xml><?xml version="1.0" encoding="utf-8"?>
<ds:datastoreItem xmlns:ds="http://schemas.openxmlformats.org/officeDocument/2006/customXml" ds:itemID="{11AD138E-99A0-42D1-AB2B-1E14B29675A1}">
  <ds:schemaRefs>
    <ds:schemaRef ds:uri="http://purl.org/dc/terms/"/>
    <ds:schemaRef ds:uri="http://schemas.microsoft.com/office/2006/documentManagement/types"/>
    <ds:schemaRef ds:uri="http://schemas.microsoft.com/office/2006/metadata/properties"/>
    <ds:schemaRef ds:uri="http://purl.org/dc/elements/1.1/"/>
    <ds:schemaRef ds:uri="e959ac68-712d-4d14-b01b-edf685deb306"/>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7484F58-C041-47C5-9CCC-BB9A1895BA67}"/>
</file>

<file path=customXml/itemProps4.xml><?xml version="1.0" encoding="utf-8"?>
<ds:datastoreItem xmlns:ds="http://schemas.openxmlformats.org/officeDocument/2006/customXml" ds:itemID="{21A7FC75-130C-454E-A7A6-EF7CD1D5F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8393</Words>
  <Characters>47844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Admission Bodies Scheme Employers And Bulk Transfer Policy CPF Appendix</vt:lpstr>
    </vt:vector>
  </TitlesOfParts>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Bodies Scheme Employers And Bulk Transfer Policy CPF Appendix</dc:title>
  <dc:creator/>
  <cp:lastModifiedBy/>
  <cp:revision>1</cp:revision>
  <dcterms:created xsi:type="dcterms:W3CDTF">2024-10-18T10:07:00Z</dcterms:created>
  <dcterms:modified xsi:type="dcterms:W3CDTF">2024-10-18T10:07:00Z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